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82E68" w14:textId="7C15B6C2" w:rsidR="008157FD" w:rsidRDefault="008157FD" w:rsidP="008157FD">
      <w:pPr>
        <w:autoSpaceDE w:val="0"/>
        <w:autoSpaceDN w:val="0"/>
        <w:adjustRightInd w:val="0"/>
        <w:spacing w:after="0" w:line="240" w:lineRule="auto"/>
        <w:rPr>
          <w:rFonts w:ascii="TimesNewRomanPS-BoldMT" w:hAnsi="TimesNewRomanPS-BoldMT" w:cs="TimesNewRomanPS-BoldMT"/>
          <w:b/>
          <w:bCs/>
          <w:sz w:val="36"/>
          <w:szCs w:val="36"/>
          <w:vertAlign w:val="superscript"/>
        </w:rPr>
      </w:pPr>
      <w:bookmarkStart w:id="0" w:name="_GoBack"/>
      <w:bookmarkEnd w:id="0"/>
      <w:r>
        <w:rPr>
          <w:rFonts w:ascii="TimesNewRomanPS-BoldMT" w:hAnsi="TimesNewRomanPS-BoldMT" w:cs="TimesNewRomanPS-BoldMT"/>
          <w:b/>
          <w:bCs/>
          <w:sz w:val="36"/>
          <w:szCs w:val="36"/>
        </w:rPr>
        <w:t>The following water quality report is presented to the citizens of the City of Auburn using information provided by the Barrow County water and sewerage authority and from Gwinnett County water authority, also from testing in and around the City of Auburn. Should you have any questions regarding the information in this report, you may contact Elbert Blackstock, Auburn’s public water licensed operator at (770)963-4002. This report details information on our water system for the calendar year of 2017, January 1st to December 31</w:t>
      </w:r>
      <w:r>
        <w:rPr>
          <w:rFonts w:ascii="TimesNewRomanPS-BoldMT" w:hAnsi="TimesNewRomanPS-BoldMT" w:cs="TimesNewRomanPS-BoldMT"/>
          <w:b/>
          <w:bCs/>
          <w:sz w:val="36"/>
          <w:szCs w:val="36"/>
          <w:vertAlign w:val="superscript"/>
        </w:rPr>
        <w:t>st</w:t>
      </w:r>
    </w:p>
    <w:p w14:paraId="3AD91B22" w14:textId="779388CC" w:rsidR="008157FD" w:rsidRDefault="008157FD" w:rsidP="008157FD">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During the calendar year of 2017 the City of Auburn purchased 100% of our drinking water from Barrow County Water and sewer Authority (BCWSA).</w:t>
      </w:r>
    </w:p>
    <w:p w14:paraId="35F2A88A" w14:textId="77777777" w:rsidR="008157FD" w:rsidRDefault="008157FD" w:rsidP="008157FD">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We have the ability to purchase water from Gwinnett County if needed.</w:t>
      </w:r>
    </w:p>
    <w:p w14:paraId="39389106" w14:textId="77777777" w:rsidR="008157FD" w:rsidRDefault="008157FD" w:rsidP="008157FD">
      <w:pPr>
        <w:autoSpaceDE w:val="0"/>
        <w:autoSpaceDN w:val="0"/>
        <w:adjustRightInd w:val="0"/>
        <w:spacing w:after="0" w:line="240" w:lineRule="auto"/>
        <w:rPr>
          <w:rFonts w:ascii="TimesNewRomanPS-BoldMT" w:hAnsi="TimesNewRomanPS-BoldMT" w:cs="TimesNewRomanPS-BoldMT"/>
          <w:b/>
          <w:bCs/>
          <w:sz w:val="36"/>
          <w:szCs w:val="36"/>
        </w:rPr>
      </w:pPr>
    </w:p>
    <w:p w14:paraId="4A205351" w14:textId="77777777" w:rsidR="008157FD" w:rsidRDefault="008157FD" w:rsidP="008157FD">
      <w:pPr>
        <w:autoSpaceDE w:val="0"/>
        <w:autoSpaceDN w:val="0"/>
        <w:adjustRightInd w:val="0"/>
        <w:spacing w:after="0" w:line="240" w:lineRule="auto"/>
        <w:rPr>
          <w:rFonts w:ascii="TimesNewRomanPS-BoldMT" w:hAnsi="TimesNewRomanPS-BoldMT" w:cs="TimesNewRomanPS-BoldMT"/>
          <w:b/>
          <w:bCs/>
          <w:sz w:val="36"/>
          <w:szCs w:val="36"/>
        </w:rPr>
      </w:pPr>
    </w:p>
    <w:p w14:paraId="552936D9" w14:textId="77777777" w:rsidR="008157FD" w:rsidRDefault="008157FD" w:rsidP="008157FD">
      <w:pPr>
        <w:autoSpaceDE w:val="0"/>
        <w:autoSpaceDN w:val="0"/>
        <w:adjustRightInd w:val="0"/>
        <w:spacing w:after="0" w:line="240" w:lineRule="auto"/>
        <w:rPr>
          <w:rFonts w:ascii="TimesNewRomanPS-BoldMT" w:hAnsi="TimesNewRomanPS-BoldMT" w:cs="TimesNewRomanPS-BoldMT"/>
          <w:b/>
          <w:bCs/>
          <w:sz w:val="36"/>
          <w:szCs w:val="36"/>
        </w:rPr>
      </w:pPr>
    </w:p>
    <w:p w14:paraId="2929F64E"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WHERE DOES MY WATER COME FROM?</w:t>
      </w:r>
    </w:p>
    <w:p w14:paraId="49DACF26"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BCWSA purchased all of its drinking water from the Upper Oconee Basin Water Authority.</w:t>
      </w:r>
    </w:p>
    <w:p w14:paraId="6A49C336"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water supply sources for the Upper Oconee Basin Water Authority are Bear Creek and the Middle</w:t>
      </w:r>
    </w:p>
    <w:p w14:paraId="2AD2E9BA"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Oconee River.</w:t>
      </w:r>
    </w:p>
    <w:p w14:paraId="785D48C0"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NOTES ABOUT CONTAMINANTS</w:t>
      </w:r>
    </w:p>
    <w:p w14:paraId="2DBCF931"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sources of drinking water (both tap water and bottled water) include rivers, lakes, streams, ponds,</w:t>
      </w:r>
    </w:p>
    <w:p w14:paraId="45B0A7FD"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reservoirs, springs and wells. As water travels over the surface of the land or through the ground it dissolves naturally-</w:t>
      </w:r>
    </w:p>
    <w:p w14:paraId="252970ED"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occurring minerals (and in some cases radioactive material). This same traveling water can pick up substances</w:t>
      </w:r>
    </w:p>
    <w:p w14:paraId="41DDE9AC"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resulting from the presence of animals or human activity.</w:t>
      </w:r>
    </w:p>
    <w:p w14:paraId="795A4073"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Contaminants that may be present in source water include the following:</w:t>
      </w:r>
    </w:p>
    <w:p w14:paraId="16677B3C"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SymbolMT" w:eastAsia="SymbolMT" w:hAnsi="Times New Roman" w:cs="SymbolMT" w:hint="eastAsia"/>
          <w:sz w:val="20"/>
          <w:szCs w:val="20"/>
        </w:rPr>
        <w:t></w:t>
      </w:r>
      <w:r>
        <w:rPr>
          <w:rFonts w:ascii="SymbolMT" w:eastAsia="SymbolMT" w:hAnsi="Times New Roman" w:cs="SymbolMT" w:hint="eastAsia"/>
          <w:sz w:val="20"/>
          <w:szCs w:val="20"/>
        </w:rPr>
        <w:t xml:space="preserve"> </w:t>
      </w:r>
      <w:r>
        <w:rPr>
          <w:rFonts w:ascii="Times New Roman" w:hAnsi="Times New Roman" w:cs="Times New Roman"/>
          <w:sz w:val="20"/>
          <w:szCs w:val="20"/>
        </w:rPr>
        <w:t>Microbial contaminants, such as viruses and bacteria, which may come from sewage treatment</w:t>
      </w:r>
    </w:p>
    <w:p w14:paraId="1AEF5F3A"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plants, septic systems, agricultural livestock operations and wildlife.</w:t>
      </w:r>
    </w:p>
    <w:p w14:paraId="6C24F0E9"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SymbolMT" w:eastAsia="SymbolMT" w:hAnsi="Times New Roman" w:cs="SymbolMT" w:hint="eastAsia"/>
          <w:sz w:val="20"/>
          <w:szCs w:val="20"/>
        </w:rPr>
        <w:t></w:t>
      </w:r>
      <w:r>
        <w:rPr>
          <w:rFonts w:ascii="SymbolMT" w:eastAsia="SymbolMT" w:hAnsi="Times New Roman" w:cs="SymbolMT" w:hint="eastAsia"/>
          <w:sz w:val="20"/>
          <w:szCs w:val="20"/>
        </w:rPr>
        <w:t></w:t>
      </w:r>
      <w:r>
        <w:rPr>
          <w:rFonts w:ascii="SymbolMT" w:eastAsia="SymbolMT" w:hAnsi="Times New Roman" w:cs="SymbolMT" w:hint="eastAsia"/>
          <w:sz w:val="20"/>
          <w:szCs w:val="20"/>
        </w:rPr>
        <w:t></w:t>
      </w:r>
      <w:r>
        <w:rPr>
          <w:rFonts w:ascii="SymbolMT" w:eastAsia="SymbolMT" w:hAnsi="Times New Roman" w:cs="SymbolMT" w:hint="eastAsia"/>
          <w:sz w:val="20"/>
          <w:szCs w:val="20"/>
        </w:rPr>
        <w:t></w:t>
      </w:r>
      <w:r>
        <w:rPr>
          <w:rFonts w:ascii="SymbolMT" w:eastAsia="SymbolMT" w:hAnsi="Times New Roman" w:cs="SymbolMT" w:hint="eastAsia"/>
          <w:sz w:val="20"/>
          <w:szCs w:val="20"/>
        </w:rPr>
        <w:t></w:t>
      </w:r>
      <w:r>
        <w:rPr>
          <w:rFonts w:ascii="SymbolMT" w:eastAsia="SymbolMT" w:hAnsi="Times New Roman" w:cs="SymbolMT" w:hint="eastAsia"/>
          <w:sz w:val="20"/>
          <w:szCs w:val="20"/>
        </w:rPr>
        <w:t></w:t>
      </w:r>
      <w:r>
        <w:rPr>
          <w:rFonts w:ascii="Times New Roman" w:hAnsi="Times New Roman" w:cs="Times New Roman"/>
          <w:sz w:val="20"/>
          <w:szCs w:val="20"/>
        </w:rPr>
        <w:t>Inorganic contaminants, such as salt and metals, which can be naturally occurring or result from</w:t>
      </w:r>
    </w:p>
    <w:p w14:paraId="603B075D"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urban storm runoff, industrial or domestic wastewater discharges, oil and gas production, mining</w:t>
      </w:r>
    </w:p>
    <w:p w14:paraId="53966A34"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or farming.</w:t>
      </w:r>
    </w:p>
    <w:p w14:paraId="4C752A8D"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SymbolMT" w:eastAsia="SymbolMT" w:hAnsi="Times New Roman" w:cs="SymbolMT" w:hint="eastAsia"/>
          <w:sz w:val="20"/>
          <w:szCs w:val="20"/>
        </w:rPr>
        <w:t></w:t>
      </w:r>
      <w:r>
        <w:rPr>
          <w:rFonts w:ascii="SymbolMT" w:eastAsia="SymbolMT" w:hAnsi="Times New Roman" w:cs="SymbolMT" w:hint="eastAsia"/>
          <w:sz w:val="20"/>
          <w:szCs w:val="20"/>
        </w:rPr>
        <w:t xml:space="preserve"> </w:t>
      </w:r>
      <w:r>
        <w:rPr>
          <w:rFonts w:ascii="Times New Roman" w:hAnsi="Times New Roman" w:cs="Times New Roman"/>
          <w:sz w:val="20"/>
          <w:szCs w:val="20"/>
        </w:rPr>
        <w:t>Pesticides and herbicides, which may come from a variety of sources such as agriculture, urban</w:t>
      </w:r>
    </w:p>
    <w:p w14:paraId="45EE3F03"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storm water runoff and residential uses.</w:t>
      </w:r>
    </w:p>
    <w:p w14:paraId="5FF41D1F"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SymbolMT" w:eastAsia="SymbolMT" w:hAnsi="Times New Roman" w:cs="SymbolMT" w:hint="eastAsia"/>
          <w:sz w:val="20"/>
          <w:szCs w:val="20"/>
        </w:rPr>
        <w:t></w:t>
      </w:r>
      <w:r>
        <w:rPr>
          <w:rFonts w:ascii="SymbolMT" w:eastAsia="SymbolMT" w:hAnsi="Times New Roman" w:cs="SymbolMT" w:hint="eastAsia"/>
          <w:sz w:val="20"/>
          <w:szCs w:val="20"/>
        </w:rPr>
        <w:t xml:space="preserve"> </w:t>
      </w:r>
      <w:r>
        <w:rPr>
          <w:rFonts w:ascii="Times New Roman" w:hAnsi="Times New Roman" w:cs="Times New Roman"/>
          <w:sz w:val="20"/>
          <w:szCs w:val="20"/>
        </w:rPr>
        <w:t>Organic chemical contaminants, including synthetic and volatile chemicals (which are byproducts</w:t>
      </w:r>
    </w:p>
    <w:p w14:paraId="330E0F98"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of industrial processes and petroleum production) can also come from gas stations, urban</w:t>
      </w:r>
    </w:p>
    <w:p w14:paraId="3D79122F"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storm water runoff and septic systems.</w:t>
      </w:r>
    </w:p>
    <w:p w14:paraId="68BB785A"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SymbolMT" w:eastAsia="SymbolMT" w:hAnsi="Times New Roman" w:cs="SymbolMT" w:hint="eastAsia"/>
          <w:sz w:val="20"/>
          <w:szCs w:val="20"/>
        </w:rPr>
        <w:t></w:t>
      </w:r>
      <w:r>
        <w:rPr>
          <w:rFonts w:ascii="SymbolMT" w:eastAsia="SymbolMT" w:hAnsi="Times New Roman" w:cs="SymbolMT" w:hint="eastAsia"/>
          <w:sz w:val="20"/>
          <w:szCs w:val="20"/>
        </w:rPr>
        <w:t xml:space="preserve"> </w:t>
      </w:r>
      <w:r>
        <w:rPr>
          <w:rFonts w:ascii="Times New Roman" w:hAnsi="Times New Roman" w:cs="Times New Roman"/>
          <w:sz w:val="20"/>
          <w:szCs w:val="20"/>
        </w:rPr>
        <w:t>Radioactive contaminants, which can be naturally occurring or be the results of oil and gas production</w:t>
      </w:r>
    </w:p>
    <w:p w14:paraId="7B050862"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and mining activities.</w:t>
      </w:r>
    </w:p>
    <w:p w14:paraId="0B1F82D4"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SymbolMT" w:eastAsia="SymbolMT" w:hAnsi="Times New Roman" w:cs="SymbolMT" w:hint="eastAsia"/>
          <w:sz w:val="20"/>
          <w:szCs w:val="20"/>
        </w:rPr>
        <w:t></w:t>
      </w:r>
      <w:r>
        <w:rPr>
          <w:rFonts w:ascii="SymbolMT" w:eastAsia="SymbolMT" w:hAnsi="Times New Roman" w:cs="SymbolMT" w:hint="eastAsia"/>
          <w:sz w:val="20"/>
          <w:szCs w:val="20"/>
        </w:rPr>
        <w:t xml:space="preserve"> </w:t>
      </w:r>
      <w:r>
        <w:rPr>
          <w:rFonts w:ascii="Times New Roman" w:hAnsi="Times New Roman" w:cs="Times New Roman"/>
          <w:sz w:val="20"/>
          <w:szCs w:val="20"/>
        </w:rPr>
        <w:t>Some people who drink water containing trihalomethanes in excess of the MCL over</w:t>
      </w:r>
    </w:p>
    <w:p w14:paraId="52EAAFCB"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many years may experience problems with their liver, kidneys, or central nervous systems,</w:t>
      </w:r>
    </w:p>
    <w:p w14:paraId="1066E21B" w14:textId="77777777" w:rsidR="008157FD" w:rsidRDefault="008157FD" w:rsidP="008157FD">
      <w:pPr>
        <w:rPr>
          <w:rFonts w:ascii="Times New Roman" w:hAnsi="Times New Roman" w:cs="Times New Roman"/>
          <w:sz w:val="20"/>
          <w:szCs w:val="20"/>
        </w:rPr>
      </w:pPr>
      <w:r>
        <w:rPr>
          <w:rFonts w:ascii="Times New Roman" w:hAnsi="Times New Roman" w:cs="Times New Roman"/>
          <w:sz w:val="20"/>
          <w:szCs w:val="20"/>
        </w:rPr>
        <w:t>and may have an increased risk of getting cancer.</w:t>
      </w:r>
    </w:p>
    <w:p w14:paraId="55FCD3BD" w14:textId="77777777" w:rsidR="008157FD" w:rsidRDefault="008157FD" w:rsidP="008157FD">
      <w:pPr>
        <w:rPr>
          <w:rFonts w:ascii="Times New Roman" w:hAnsi="Times New Roman" w:cs="Times New Roman"/>
          <w:sz w:val="20"/>
          <w:szCs w:val="20"/>
        </w:rPr>
      </w:pPr>
    </w:p>
    <w:p w14:paraId="5F53E0C3"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 order to insure that tap water is safe to drink, the EPA prescribes regulations that limit the amount</w:t>
      </w:r>
    </w:p>
    <w:p w14:paraId="2FE27048"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of certain contaminants in water provided by public water systems. Food and Drug Administration regulations</w:t>
      </w:r>
    </w:p>
    <w:p w14:paraId="1CFA5306"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established limits for contaminants in bottled water, which must provide the same protection for public health.</w:t>
      </w:r>
    </w:p>
    <w:p w14:paraId="4A4FD0FD" w14:textId="77777777" w:rsidR="008157FD" w:rsidRDefault="008157FD" w:rsidP="008157FD">
      <w:pPr>
        <w:autoSpaceDE w:val="0"/>
        <w:autoSpaceDN w:val="0"/>
        <w:adjustRightInd w:val="0"/>
        <w:spacing w:after="0" w:line="240" w:lineRule="auto"/>
        <w:rPr>
          <w:rFonts w:ascii="SymbolMT" w:eastAsia="SymbolMT" w:hAnsi="Times New Roman" w:cs="SymbolMT"/>
          <w:sz w:val="20"/>
          <w:szCs w:val="20"/>
        </w:rPr>
      </w:pPr>
      <w:r>
        <w:rPr>
          <w:rFonts w:ascii="SymbolMT" w:eastAsia="SymbolMT" w:hAnsi="Times New Roman" w:cs="SymbolMT" w:hint="eastAsia"/>
          <w:sz w:val="20"/>
          <w:szCs w:val="20"/>
        </w:rPr>
        <w:t></w:t>
      </w:r>
    </w:p>
    <w:p w14:paraId="73116282"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CONTAMINANTS AND HEALTH RISK</w:t>
      </w:r>
    </w:p>
    <w:p w14:paraId="7CFD04F1"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If present, elevated levels of lead can cause serious health problems, especially for</w:t>
      </w:r>
    </w:p>
    <w:p w14:paraId="11B38B2A"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pregnant women and young children. Lead in drinking water is primarily from materials</w:t>
      </w:r>
    </w:p>
    <w:p w14:paraId="2FEE763E"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and components associated with service lines and home plumbing. Barrow County</w:t>
      </w:r>
    </w:p>
    <w:p w14:paraId="6A3AF3E6"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Water and Sewerage Authority is responsible for providing high quality drinking water,</w:t>
      </w:r>
    </w:p>
    <w:p w14:paraId="72ABB46A"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but cannot control the variety of materials used in plumbing components. When</w:t>
      </w:r>
    </w:p>
    <w:p w14:paraId="40353BFF"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your water has been sitting for several hours, you can minimize the potential for lead</w:t>
      </w:r>
    </w:p>
    <w:p w14:paraId="554B7848"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exposure by flushing your tap for 30 seconds to 2 minutes before using water for drinking</w:t>
      </w:r>
    </w:p>
    <w:p w14:paraId="4B524968"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or cooking. If you are concerned about lead in your water, you may wish to have</w:t>
      </w:r>
    </w:p>
    <w:p w14:paraId="2ED70029"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your water tested. Information on lead in drinking water, testing methods, and steps</w:t>
      </w:r>
    </w:p>
    <w:p w14:paraId="092DF585"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you can take to minimize exposure is available from the Safe Drinking Water Hotline</w:t>
      </w:r>
    </w:p>
    <w:p w14:paraId="4330B3E0" w14:textId="77777777" w:rsidR="008157FD" w:rsidRDefault="008157FD" w:rsidP="008157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or at </w:t>
      </w:r>
      <w:r>
        <w:rPr>
          <w:rFonts w:ascii="Times New Roman" w:hAnsi="Times New Roman" w:cs="Times New Roman"/>
          <w:sz w:val="24"/>
          <w:szCs w:val="24"/>
        </w:rPr>
        <w:t>http://www.epa.gov/safewater/lead.</w:t>
      </w:r>
    </w:p>
    <w:p w14:paraId="3E7179EF"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Drinking water, including bottled water, may reasonably be expected to contain</w:t>
      </w:r>
    </w:p>
    <w:p w14:paraId="225F8C55"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at least small amounts of some contaminants. The presence of contaminants does not</w:t>
      </w:r>
    </w:p>
    <w:p w14:paraId="46976FCC"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necessarily indicate that water poses a health risk. More information about contaminants</w:t>
      </w:r>
    </w:p>
    <w:p w14:paraId="3AA8B38F"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and potential health effects can be obtained by calling the EPA’s Safe Drinking</w:t>
      </w:r>
    </w:p>
    <w:p w14:paraId="74FD559B"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Water Hotline (1-800-426-4791).</w:t>
      </w:r>
    </w:p>
    <w:p w14:paraId="35CA0149"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IMPORTANT HEALTH INFORMATION</w:t>
      </w:r>
    </w:p>
    <w:p w14:paraId="21A02F9A"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Some people may be more vulnerable to contaminants in drinking water than the general population.</w:t>
      </w:r>
    </w:p>
    <w:p w14:paraId="194EF7DF"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Immuno-compromised persons such as persons with cancer undergoing chemotherapy, persons who have undergone</w:t>
      </w:r>
    </w:p>
    <w:p w14:paraId="0587E016"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organ transplants, people with HIV / AIDS or other immune system disorders, some elderly persons</w:t>
      </w:r>
    </w:p>
    <w:p w14:paraId="48AC56B3"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and infants can be particularly at risk from infections. These people should seek advice about drinking water</w:t>
      </w:r>
    </w:p>
    <w:p w14:paraId="1686FF66"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from their health care providers. EPA / CDC guidelines on appropriate means to lessen the risk of infection by</w:t>
      </w:r>
    </w:p>
    <w:p w14:paraId="5400B4E2" w14:textId="77777777" w:rsidR="008157FD" w:rsidRDefault="008157FD" w:rsidP="008157FD">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Cryptosporidium and other microbial contaminants are available from the </w:t>
      </w:r>
      <w:r>
        <w:rPr>
          <w:rFonts w:ascii="Times New Roman" w:hAnsi="Times New Roman" w:cs="Times New Roman"/>
          <w:b/>
          <w:bCs/>
          <w:sz w:val="20"/>
          <w:szCs w:val="20"/>
        </w:rPr>
        <w:t>Safe Drinking Water Hotline (1</w:t>
      </w:r>
    </w:p>
    <w:p w14:paraId="3A283139" w14:textId="77777777" w:rsidR="008157FD" w:rsidRDefault="008157FD" w:rsidP="008157FD">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-800-426-4791).</w:t>
      </w:r>
    </w:p>
    <w:p w14:paraId="32F5197F" w14:textId="77777777" w:rsidR="008157FD" w:rsidRDefault="008157FD" w:rsidP="008157FD">
      <w:pPr>
        <w:autoSpaceDE w:val="0"/>
        <w:autoSpaceDN w:val="0"/>
        <w:adjustRightInd w:val="0"/>
        <w:spacing w:after="0" w:line="240" w:lineRule="auto"/>
        <w:rPr>
          <w:rFonts w:ascii="SymbolMT" w:eastAsia="SymbolMT" w:hAnsi="Times New Roman" w:cs="SymbolMT"/>
          <w:sz w:val="20"/>
          <w:szCs w:val="20"/>
        </w:rPr>
      </w:pPr>
      <w:r>
        <w:rPr>
          <w:rFonts w:ascii="SymbolMT" w:eastAsia="SymbolMT" w:hAnsi="Times New Roman" w:cs="SymbolMT" w:hint="eastAsia"/>
          <w:sz w:val="20"/>
          <w:szCs w:val="20"/>
        </w:rPr>
        <w:t></w:t>
      </w:r>
      <w:r>
        <w:rPr>
          <w:rFonts w:ascii="SymbolMT" w:eastAsia="SymbolMT" w:hAnsi="Times New Roman" w:cs="SymbolMT" w:hint="eastAsia"/>
          <w:sz w:val="20"/>
          <w:szCs w:val="20"/>
        </w:rPr>
        <w:t></w:t>
      </w:r>
    </w:p>
    <w:p w14:paraId="7FDFE30B"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WHAT IS CRYPTOSPORIDIUM?</w:t>
      </w:r>
    </w:p>
    <w:p w14:paraId="4B1608E4"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Cryptosporidium (Crypto) is a one-celled parasite protozoan, which is often found in water sources</w:t>
      </w:r>
    </w:p>
    <w:p w14:paraId="27600240"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that receive runoff from animal waste. Crypto can infect humans and have severe impacts on certain people</w:t>
      </w:r>
    </w:p>
    <w:p w14:paraId="2943088C"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including organ transplant recipients, immuno-compromised persons, young children and persons undergoing</w:t>
      </w:r>
    </w:p>
    <w:p w14:paraId="0BABBEA6"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cancer treatment. Under the U.S. EPA’s Information Collection Rule, quarterly samples have been collected</w:t>
      </w:r>
    </w:p>
    <w:p w14:paraId="56BDAD56"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from the Upper Oconee Basin Water Authority’s raw and treated water and analyzed. Crypto has not been detected</w:t>
      </w:r>
    </w:p>
    <w:p w14:paraId="45AF9D93"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 neither source water or drinking water. Samples have been analyzed for over five years and Crypto</w:t>
      </w:r>
    </w:p>
    <w:p w14:paraId="7D3CE85D" w14:textId="77777777" w:rsidR="008157FD" w:rsidRDefault="008157FD" w:rsidP="008157FD">
      <w:pPr>
        <w:rPr>
          <w:rFonts w:ascii="Times New Roman" w:hAnsi="Times New Roman" w:cs="Times New Roman"/>
          <w:sz w:val="20"/>
          <w:szCs w:val="20"/>
        </w:rPr>
      </w:pPr>
      <w:r>
        <w:rPr>
          <w:rFonts w:ascii="Times New Roman" w:hAnsi="Times New Roman" w:cs="Times New Roman"/>
          <w:sz w:val="20"/>
          <w:szCs w:val="20"/>
        </w:rPr>
        <w:t>has never been detected.</w:t>
      </w:r>
    </w:p>
    <w:p w14:paraId="24AB416E" w14:textId="77777777" w:rsidR="008157FD" w:rsidRDefault="008157FD" w:rsidP="008157FD">
      <w:pPr>
        <w:rPr>
          <w:rFonts w:ascii="Times New Roman" w:hAnsi="Times New Roman" w:cs="Times New Roman"/>
          <w:sz w:val="20"/>
          <w:szCs w:val="20"/>
        </w:rPr>
      </w:pPr>
    </w:p>
    <w:p w14:paraId="58F9E65C" w14:textId="77777777" w:rsidR="008157FD" w:rsidRDefault="008157FD" w:rsidP="008157FD">
      <w:pPr>
        <w:autoSpaceDE w:val="0"/>
        <w:autoSpaceDN w:val="0"/>
        <w:adjustRightInd w:val="0"/>
        <w:spacing w:after="0" w:line="240" w:lineRule="auto"/>
        <w:rPr>
          <w:rFonts w:ascii="Arial" w:hAnsi="Arial" w:cs="Arial"/>
          <w:b/>
          <w:bCs/>
        </w:rPr>
      </w:pPr>
    </w:p>
    <w:p w14:paraId="0607499E" w14:textId="77777777" w:rsidR="008157FD" w:rsidRDefault="008157FD" w:rsidP="008157FD">
      <w:pPr>
        <w:autoSpaceDE w:val="0"/>
        <w:autoSpaceDN w:val="0"/>
        <w:adjustRightInd w:val="0"/>
        <w:spacing w:after="0" w:line="240" w:lineRule="auto"/>
        <w:rPr>
          <w:rFonts w:ascii="Arial" w:hAnsi="Arial" w:cs="Arial"/>
          <w:b/>
          <w:bCs/>
        </w:rPr>
      </w:pPr>
    </w:p>
    <w:p w14:paraId="609FDEFB" w14:textId="77777777" w:rsidR="008157FD" w:rsidRDefault="008157FD" w:rsidP="008157FD">
      <w:pPr>
        <w:autoSpaceDE w:val="0"/>
        <w:autoSpaceDN w:val="0"/>
        <w:adjustRightInd w:val="0"/>
        <w:spacing w:after="0" w:line="240" w:lineRule="auto"/>
        <w:rPr>
          <w:rFonts w:ascii="Arial" w:hAnsi="Arial" w:cs="Arial"/>
          <w:b/>
          <w:bCs/>
        </w:rPr>
      </w:pPr>
    </w:p>
    <w:p w14:paraId="703A1FF1" w14:textId="77777777" w:rsidR="008157FD" w:rsidRDefault="008157FD" w:rsidP="008157FD">
      <w:pPr>
        <w:autoSpaceDE w:val="0"/>
        <w:autoSpaceDN w:val="0"/>
        <w:adjustRightInd w:val="0"/>
        <w:spacing w:after="0" w:line="240" w:lineRule="auto"/>
        <w:rPr>
          <w:rFonts w:ascii="Arial" w:hAnsi="Arial" w:cs="Arial"/>
          <w:b/>
          <w:bCs/>
        </w:rPr>
      </w:pPr>
      <w:r>
        <w:rPr>
          <w:rFonts w:ascii="Arial" w:hAnsi="Arial" w:cs="Arial"/>
          <w:b/>
          <w:bCs/>
        </w:rPr>
        <w:t>READING THE RESULTS - Definitions of Terms and Abbreviations Used in the Report</w:t>
      </w:r>
    </w:p>
    <w:p w14:paraId="00E85BD0"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AL </w:t>
      </w:r>
      <w:r>
        <w:rPr>
          <w:rFonts w:ascii="Arial" w:hAnsi="Arial" w:cs="Arial"/>
          <w:sz w:val="20"/>
          <w:szCs w:val="20"/>
        </w:rPr>
        <w:t>Action Level (AL): The concentration of a contaminate which if exceeded, triggers treatment or</w:t>
      </w:r>
    </w:p>
    <w:p w14:paraId="6D16E665"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sz w:val="20"/>
          <w:szCs w:val="20"/>
        </w:rPr>
        <w:t>other requirements which a water system must follow.</w:t>
      </w:r>
    </w:p>
    <w:p w14:paraId="22919480"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MCL </w:t>
      </w:r>
      <w:r>
        <w:rPr>
          <w:rFonts w:ascii="Arial" w:hAnsi="Arial" w:cs="Arial"/>
          <w:sz w:val="20"/>
          <w:szCs w:val="20"/>
        </w:rPr>
        <w:t>Maximum Contaminate Level (MCL): The highest level of a contaminant that is allowed in</w:t>
      </w:r>
    </w:p>
    <w:p w14:paraId="45FAAF6B"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sz w:val="20"/>
          <w:szCs w:val="20"/>
        </w:rPr>
        <w:t>drinking water. MCLs are set as close to the MCLGs as feasible using the best available</w:t>
      </w:r>
    </w:p>
    <w:p w14:paraId="3D286933"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sz w:val="20"/>
          <w:szCs w:val="20"/>
        </w:rPr>
        <w:t>treatment technology.</w:t>
      </w:r>
    </w:p>
    <w:p w14:paraId="52588E63"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MCLG </w:t>
      </w:r>
      <w:r>
        <w:rPr>
          <w:rFonts w:ascii="Arial" w:hAnsi="Arial" w:cs="Arial"/>
          <w:sz w:val="20"/>
          <w:szCs w:val="20"/>
        </w:rPr>
        <w:t>Maximum Contaminate Level Goal (MCLG): The level of a contaminant in drinking water below,</w:t>
      </w:r>
    </w:p>
    <w:p w14:paraId="2A5B4308"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sz w:val="20"/>
          <w:szCs w:val="20"/>
        </w:rPr>
        <w:t>which there is no known or expected risk to health. MCLGs allow for a margin of safety.</w:t>
      </w:r>
    </w:p>
    <w:p w14:paraId="0A27664C"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m/L </w:t>
      </w:r>
      <w:r>
        <w:rPr>
          <w:rFonts w:ascii="Arial" w:hAnsi="Arial" w:cs="Arial"/>
          <w:sz w:val="20"/>
          <w:szCs w:val="20"/>
        </w:rPr>
        <w:t>Milliliter: A milliliter is one thousandth of a liter. One liter is equal to slightly more than a quart.</w:t>
      </w:r>
    </w:p>
    <w:p w14:paraId="248C23AA"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n/a </w:t>
      </w:r>
      <w:r>
        <w:rPr>
          <w:rFonts w:ascii="Arial" w:hAnsi="Arial" w:cs="Arial"/>
          <w:sz w:val="20"/>
          <w:szCs w:val="20"/>
        </w:rPr>
        <w:t>Not applicable.</w:t>
      </w:r>
    </w:p>
    <w:p w14:paraId="2F40F11F" w14:textId="77777777" w:rsidR="008157FD" w:rsidRDefault="008157FD" w:rsidP="008157FD">
      <w:pPr>
        <w:autoSpaceDE w:val="0"/>
        <w:autoSpaceDN w:val="0"/>
        <w:adjustRightInd w:val="0"/>
        <w:spacing w:after="0" w:line="240" w:lineRule="auto"/>
        <w:rPr>
          <w:rFonts w:ascii="Arial" w:hAnsi="Arial" w:cs="Arial"/>
          <w:sz w:val="20"/>
          <w:szCs w:val="20"/>
        </w:rPr>
      </w:pPr>
      <w:proofErr w:type="spellStart"/>
      <w:r>
        <w:rPr>
          <w:rFonts w:ascii="Arial" w:hAnsi="Arial" w:cs="Arial"/>
          <w:b/>
          <w:bCs/>
          <w:sz w:val="20"/>
          <w:szCs w:val="20"/>
        </w:rPr>
        <w:t>nd</w:t>
      </w:r>
      <w:proofErr w:type="spellEnd"/>
      <w:r>
        <w:rPr>
          <w:rFonts w:ascii="Arial" w:hAnsi="Arial" w:cs="Arial"/>
          <w:b/>
          <w:bCs/>
          <w:sz w:val="20"/>
          <w:szCs w:val="20"/>
        </w:rPr>
        <w:t xml:space="preserve"> </w:t>
      </w:r>
      <w:r>
        <w:rPr>
          <w:rFonts w:ascii="Arial" w:hAnsi="Arial" w:cs="Arial"/>
          <w:sz w:val="20"/>
          <w:szCs w:val="20"/>
        </w:rPr>
        <w:t>Not detectable at testing limit.</w:t>
      </w:r>
    </w:p>
    <w:p w14:paraId="696F0D39"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NTU </w:t>
      </w:r>
      <w:r>
        <w:rPr>
          <w:rFonts w:ascii="Arial" w:hAnsi="Arial" w:cs="Arial"/>
          <w:sz w:val="20"/>
          <w:szCs w:val="20"/>
        </w:rPr>
        <w:t>Nephelometric Turbidity Unit (NTU): A measure of suspended material in water.</w:t>
      </w:r>
    </w:p>
    <w:p w14:paraId="645B312D"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ppm </w:t>
      </w:r>
      <w:r>
        <w:rPr>
          <w:rFonts w:ascii="Arial" w:hAnsi="Arial" w:cs="Arial"/>
          <w:sz w:val="20"/>
          <w:szCs w:val="20"/>
        </w:rPr>
        <w:t>A part per Million means one part per 1,000,000 (same as milligrams per liter) and corresponds</w:t>
      </w:r>
    </w:p>
    <w:p w14:paraId="197A73A7"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sz w:val="20"/>
          <w:szCs w:val="20"/>
        </w:rPr>
        <w:t>to 1 minute in 2 years, or 1 penny in $10,000.</w:t>
      </w:r>
    </w:p>
    <w:p w14:paraId="09B37B27"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ppb </w:t>
      </w:r>
      <w:r>
        <w:rPr>
          <w:rFonts w:ascii="Arial" w:hAnsi="Arial" w:cs="Arial"/>
          <w:sz w:val="20"/>
          <w:szCs w:val="20"/>
        </w:rPr>
        <w:t xml:space="preserve">A part per Billion means one part per 1,000,000,000 (same as micrograms per liter) and </w:t>
      </w:r>
      <w:proofErr w:type="spellStart"/>
      <w:r>
        <w:rPr>
          <w:rFonts w:ascii="Arial" w:hAnsi="Arial" w:cs="Arial"/>
          <w:sz w:val="20"/>
          <w:szCs w:val="20"/>
        </w:rPr>
        <w:t>corre</w:t>
      </w:r>
      <w:proofErr w:type="spellEnd"/>
    </w:p>
    <w:p w14:paraId="45884476" w14:textId="77777777" w:rsidR="008157FD" w:rsidRDefault="008157FD" w:rsidP="008157FD">
      <w:p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sponds</w:t>
      </w:r>
      <w:proofErr w:type="spellEnd"/>
      <w:r>
        <w:rPr>
          <w:rFonts w:ascii="Arial" w:hAnsi="Arial" w:cs="Arial"/>
          <w:sz w:val="20"/>
          <w:szCs w:val="20"/>
        </w:rPr>
        <w:t xml:space="preserve"> to 1 minute in 2,000, or 1 penny in $10,000,000.</w:t>
      </w:r>
    </w:p>
    <w:p w14:paraId="17B72CAD"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TT </w:t>
      </w:r>
      <w:r>
        <w:rPr>
          <w:rFonts w:ascii="Arial" w:hAnsi="Arial" w:cs="Arial"/>
          <w:sz w:val="20"/>
          <w:szCs w:val="20"/>
        </w:rPr>
        <w:t>Treatment Technique (TT): A required process intended to reduce the level of a contaminant in</w:t>
      </w:r>
    </w:p>
    <w:p w14:paraId="69399919"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sz w:val="20"/>
          <w:szCs w:val="20"/>
        </w:rPr>
        <w:t>drinking water.</w:t>
      </w:r>
    </w:p>
    <w:p w14:paraId="61B35362"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Turbidity </w:t>
      </w:r>
      <w:proofErr w:type="spellStart"/>
      <w:r>
        <w:rPr>
          <w:rFonts w:ascii="Arial" w:hAnsi="Arial" w:cs="Arial"/>
          <w:sz w:val="20"/>
          <w:szCs w:val="20"/>
        </w:rPr>
        <w:t>Turbidity</w:t>
      </w:r>
      <w:proofErr w:type="spellEnd"/>
      <w:r>
        <w:rPr>
          <w:rFonts w:ascii="Arial" w:hAnsi="Arial" w:cs="Arial"/>
          <w:sz w:val="20"/>
          <w:szCs w:val="20"/>
        </w:rPr>
        <w:t xml:space="preserve"> is a measure of the cloudiness of water.</w:t>
      </w:r>
    </w:p>
    <w:p w14:paraId="3792C7BE"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(a) </w:t>
      </w:r>
      <w:r>
        <w:rPr>
          <w:rFonts w:ascii="Arial" w:hAnsi="Arial" w:cs="Arial"/>
          <w:sz w:val="20"/>
          <w:szCs w:val="20"/>
        </w:rPr>
        <w:t>Water from a treatment plant does not contain lead or copper. However, based upon the</w:t>
      </w:r>
    </w:p>
    <w:p w14:paraId="1505A881"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sz w:val="20"/>
          <w:szCs w:val="20"/>
        </w:rPr>
        <w:t>Georgia Environmental Protection Division (EPD) testing requirements, water is tested at the</w:t>
      </w:r>
    </w:p>
    <w:p w14:paraId="151E2698"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sz w:val="20"/>
          <w:szCs w:val="20"/>
        </w:rPr>
        <w:t>tap. These test show that where a customer may have lead or lead soldered copper pipes, the</w:t>
      </w:r>
    </w:p>
    <w:p w14:paraId="40BB64DE"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sz w:val="20"/>
          <w:szCs w:val="20"/>
        </w:rPr>
        <w:t>water is not corrosive. This means the amount of lead or copper absorbed by the water is limited</w:t>
      </w:r>
    </w:p>
    <w:p w14:paraId="701975B5"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to safe levels.</w:t>
      </w:r>
    </w:p>
    <w:p w14:paraId="1BC59186"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(b) </w:t>
      </w:r>
      <w:r>
        <w:rPr>
          <w:rFonts w:ascii="Arial" w:hAnsi="Arial" w:cs="Arial"/>
          <w:sz w:val="20"/>
          <w:szCs w:val="20"/>
        </w:rPr>
        <w:t>Fluoride is added in treatment to bring the natural levels to the EPA Optimum of 1 part per</w:t>
      </w:r>
    </w:p>
    <w:p w14:paraId="056C8365"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sz w:val="20"/>
          <w:szCs w:val="20"/>
        </w:rPr>
        <w:t>million. This optimum concentration promotes strong teeth.</w:t>
      </w:r>
    </w:p>
    <w:p w14:paraId="2EF978A2"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(c) </w:t>
      </w:r>
      <w:r>
        <w:rPr>
          <w:rFonts w:ascii="Arial" w:hAnsi="Arial" w:cs="Arial"/>
          <w:sz w:val="20"/>
          <w:szCs w:val="20"/>
        </w:rPr>
        <w:t>The EPD requires that no single reading for turbidity exceed 2 NTUs.</w:t>
      </w:r>
    </w:p>
    <w:p w14:paraId="3395A882"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(d) </w:t>
      </w:r>
      <w:r>
        <w:rPr>
          <w:rFonts w:ascii="Arial" w:hAnsi="Arial" w:cs="Arial"/>
          <w:sz w:val="20"/>
          <w:szCs w:val="20"/>
        </w:rPr>
        <w:t>The EPD requires that no more than 5% of all readings exceed 0.5 NTU.</w:t>
      </w:r>
    </w:p>
    <w:p w14:paraId="0F6E4BE9"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&gt; </w:t>
      </w:r>
      <w:r>
        <w:rPr>
          <w:rFonts w:ascii="Arial" w:hAnsi="Arial" w:cs="Arial"/>
          <w:sz w:val="20"/>
          <w:szCs w:val="20"/>
        </w:rPr>
        <w:t>Greater than.</w:t>
      </w:r>
    </w:p>
    <w:p w14:paraId="1562E477" w14:textId="77777777" w:rsidR="008157FD" w:rsidRDefault="008157FD" w:rsidP="008157F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&lt; </w:t>
      </w:r>
      <w:r>
        <w:rPr>
          <w:rFonts w:ascii="Arial" w:hAnsi="Arial" w:cs="Arial"/>
          <w:sz w:val="20"/>
          <w:szCs w:val="20"/>
        </w:rPr>
        <w:t>Less than.</w:t>
      </w:r>
    </w:p>
    <w:p w14:paraId="0DE37343" w14:textId="77777777" w:rsidR="008157FD" w:rsidRDefault="008157FD" w:rsidP="008157FD">
      <w:pPr>
        <w:rPr>
          <w:rFonts w:ascii="Arial" w:hAnsi="Arial" w:cs="Arial"/>
          <w:sz w:val="20"/>
          <w:szCs w:val="20"/>
        </w:rPr>
      </w:pPr>
      <w:r>
        <w:rPr>
          <w:rFonts w:ascii="Arial" w:hAnsi="Arial" w:cs="Arial"/>
          <w:b/>
          <w:bCs/>
          <w:sz w:val="20"/>
          <w:szCs w:val="20"/>
        </w:rPr>
        <w:t xml:space="preserve">ne </w:t>
      </w:r>
      <w:r>
        <w:rPr>
          <w:rFonts w:ascii="Arial" w:hAnsi="Arial" w:cs="Arial"/>
          <w:sz w:val="20"/>
          <w:szCs w:val="20"/>
        </w:rPr>
        <w:t>Not Established.</w:t>
      </w:r>
    </w:p>
    <w:p w14:paraId="69C9967F" w14:textId="77777777" w:rsidR="008157FD" w:rsidRDefault="008157FD" w:rsidP="008157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WATER QUALITY DATA</w:t>
      </w:r>
    </w:p>
    <w:p w14:paraId="759F7913" w14:textId="3840FBF3"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following tables list all the drinking water contaminants that we detected during the 2017 calendar</w:t>
      </w:r>
    </w:p>
    <w:p w14:paraId="01F4C02C"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year. The presence of these contaminants in the water does not necessarily indicate that the water poses a health</w:t>
      </w:r>
    </w:p>
    <w:p w14:paraId="257D0B9D" w14:textId="357A1689"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risk. Unless otherwise noted, the data presented in these tables is from testing done January 1-December 31,2017.</w:t>
      </w:r>
    </w:p>
    <w:p w14:paraId="49333F48" w14:textId="77777777" w:rsidR="008157FD" w:rsidRDefault="008157FD" w:rsidP="008157FD">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IS OUR WATER SYSTEM MEETING OTHER RULES THAT GOVERN OUR OPERATIONS?</w:t>
      </w:r>
    </w:p>
    <w:p w14:paraId="4E0F954E"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EPD and EPA require us to test our water on a regular basis to ensure its safety. During 2016, we submitted</w:t>
      </w:r>
    </w:p>
    <w:p w14:paraId="46DFBD9B"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monthly water samples for bacteriological analysis in accordance with our Operating Permit. All samples tested</w:t>
      </w:r>
    </w:p>
    <w:p w14:paraId="1079CF35"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satisfactory.</w:t>
      </w:r>
    </w:p>
    <w:p w14:paraId="2C0EED4F"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1996 Amendments to the Federal Safe Drinking Water Act (SWDA,) brought about a new approach</w:t>
      </w:r>
    </w:p>
    <w:p w14:paraId="53B2CD5C"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for either past strengths of the Surface Water Treatment Rule, expansion of water monitoring, and other compliance</w:t>
      </w:r>
    </w:p>
    <w:p w14:paraId="0D7D1E36"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measures, the EPA advocates prevention of contamination as an important tool in the protection of public</w:t>
      </w:r>
    </w:p>
    <w:p w14:paraId="13FCC4A7"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water supplies. Georgia’s EPD mission is to develop a source water assessment plan for each public water system</w:t>
      </w:r>
    </w:p>
    <w:p w14:paraId="6310F5A2"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to help protect the sources ensuring quality drinking water that meets all state and federal regulations and to assist</w:t>
      </w:r>
    </w:p>
    <w:p w14:paraId="1CAC462F"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promotion and implementations of the protection plans. Barrow County is pleased to inform you that all of our</w:t>
      </w:r>
    </w:p>
    <w:p w14:paraId="180D35FE"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water suppliers are in full compliance with the comprehensive Source Water Assessment Programs (SWAP). You</w:t>
      </w:r>
    </w:p>
    <w:p w14:paraId="4DDD1E99" w14:textId="77777777" w:rsidR="008157FD" w:rsidRDefault="008157FD" w:rsidP="008157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can access detailed information of the plans on the Georgia Regional Development Center’s website.</w:t>
      </w:r>
    </w:p>
    <w:p w14:paraId="36EBBECE" w14:textId="77777777" w:rsidR="008157FD" w:rsidRDefault="007B4120" w:rsidP="008157FD">
      <w:pPr>
        <w:rPr>
          <w:rFonts w:ascii="Times New Roman" w:hAnsi="Times New Roman" w:cs="Times New Roman"/>
          <w:b/>
          <w:bCs/>
          <w:sz w:val="20"/>
          <w:szCs w:val="20"/>
        </w:rPr>
      </w:pPr>
      <w:hyperlink r:id="rId4" w:history="1">
        <w:r w:rsidR="008157FD">
          <w:rPr>
            <w:rStyle w:val="Hyperlink"/>
            <w:rFonts w:ascii="Times New Roman" w:hAnsi="Times New Roman" w:cs="Times New Roman"/>
            <w:b/>
            <w:bCs/>
            <w:sz w:val="20"/>
            <w:szCs w:val="20"/>
          </w:rPr>
          <w:t>http://www.negrdc.org/swap/index.html</w:t>
        </w:r>
      </w:hyperlink>
      <w:r w:rsidR="008157FD">
        <w:rPr>
          <w:rFonts w:ascii="Times New Roman" w:hAnsi="Times New Roman" w:cs="Times New Roman"/>
          <w:b/>
          <w:bCs/>
          <w:sz w:val="20"/>
          <w:szCs w:val="20"/>
        </w:rPr>
        <w:t>.</w:t>
      </w:r>
    </w:p>
    <w:p w14:paraId="0D03BBE8" w14:textId="77777777" w:rsidR="008157FD" w:rsidRDefault="008157FD" w:rsidP="008157FD">
      <w:pPr>
        <w:rPr>
          <w:rFonts w:ascii="Times New Roman" w:hAnsi="Times New Roman" w:cs="Times New Roman"/>
          <w:b/>
          <w:bCs/>
          <w:sz w:val="20"/>
          <w:szCs w:val="20"/>
        </w:rPr>
      </w:pPr>
    </w:p>
    <w:p w14:paraId="634C694D" w14:textId="77777777" w:rsidR="008157FD" w:rsidRDefault="008157FD" w:rsidP="008157FD">
      <w:pPr>
        <w:rPr>
          <w:rFonts w:ascii="Times New Roman" w:hAnsi="Times New Roman" w:cs="Times New Roman"/>
          <w:b/>
          <w:bCs/>
          <w:sz w:val="20"/>
          <w:szCs w:val="20"/>
        </w:rPr>
      </w:pPr>
    </w:p>
    <w:p w14:paraId="22611DC5" w14:textId="77777777" w:rsidR="002E104C" w:rsidRDefault="002E104C" w:rsidP="002E104C">
      <w:pPr>
        <w:spacing w:after="0" w:line="259" w:lineRule="auto"/>
        <w:ind w:left="165"/>
        <w:rPr>
          <w:rFonts w:ascii="Times New Roman" w:eastAsia="Times New Roman" w:hAnsi="Times New Roman" w:cs="Times New Roman"/>
          <w:color w:val="000000"/>
          <w:sz w:val="34"/>
        </w:rPr>
      </w:pPr>
    </w:p>
    <w:p w14:paraId="11A94FFD" w14:textId="2710398E" w:rsidR="002E104C" w:rsidRDefault="002E104C" w:rsidP="002E104C">
      <w:pPr>
        <w:spacing w:after="0" w:line="259" w:lineRule="auto"/>
        <w:ind w:left="165"/>
        <w:rPr>
          <w:rFonts w:ascii="Times New Roman" w:eastAsia="Times New Roman" w:hAnsi="Times New Roman" w:cs="Times New Roman"/>
          <w:color w:val="000000"/>
          <w:sz w:val="34"/>
        </w:rPr>
      </w:pPr>
    </w:p>
    <w:p w14:paraId="0BD96E61" w14:textId="77777777" w:rsidR="00A6302E" w:rsidRDefault="00A6302E" w:rsidP="00A6302E">
      <w:pPr>
        <w:autoSpaceDE w:val="0"/>
        <w:autoSpaceDN w:val="0"/>
        <w:adjustRightInd w:val="0"/>
        <w:spacing w:after="0" w:line="240" w:lineRule="auto"/>
        <w:rPr>
          <w:rFonts w:ascii="TimesNewRomanPS-BoldMT" w:hAnsi="TimesNewRomanPS-BoldMT" w:cs="TimesNewRomanPS-BoldMT"/>
          <w:b/>
          <w:bCs/>
          <w:sz w:val="44"/>
          <w:szCs w:val="44"/>
        </w:rPr>
      </w:pPr>
    </w:p>
    <w:p w14:paraId="63C2F515" w14:textId="77777777" w:rsidR="00A6302E" w:rsidRDefault="00A6302E" w:rsidP="00A6302E">
      <w:pPr>
        <w:autoSpaceDE w:val="0"/>
        <w:autoSpaceDN w:val="0"/>
        <w:adjustRightInd w:val="0"/>
        <w:spacing w:after="0" w:line="240" w:lineRule="auto"/>
        <w:rPr>
          <w:rFonts w:ascii="TimesNewRomanPS-BoldMT" w:hAnsi="TimesNewRomanPS-BoldMT" w:cs="TimesNewRomanPS-BoldMT"/>
          <w:b/>
          <w:bCs/>
          <w:sz w:val="44"/>
          <w:szCs w:val="44"/>
        </w:rPr>
      </w:pPr>
    </w:p>
    <w:p w14:paraId="61EEDCE5" w14:textId="77777777" w:rsidR="00A6302E" w:rsidRDefault="00A6302E" w:rsidP="00A6302E">
      <w:pPr>
        <w:autoSpaceDE w:val="0"/>
        <w:autoSpaceDN w:val="0"/>
        <w:adjustRightInd w:val="0"/>
        <w:spacing w:after="0" w:line="240" w:lineRule="auto"/>
        <w:rPr>
          <w:rFonts w:ascii="TimesNewRomanPS-BoldMT" w:hAnsi="TimesNewRomanPS-BoldMT" w:cs="TimesNewRomanPS-BoldMT"/>
          <w:b/>
          <w:bCs/>
          <w:sz w:val="44"/>
          <w:szCs w:val="44"/>
        </w:rPr>
      </w:pPr>
    </w:p>
    <w:p w14:paraId="6CCBB8D0" w14:textId="49411C7E" w:rsidR="00A6302E" w:rsidRPr="008121E4" w:rsidRDefault="00A6302E" w:rsidP="00A6302E">
      <w:pPr>
        <w:autoSpaceDE w:val="0"/>
        <w:autoSpaceDN w:val="0"/>
        <w:adjustRightInd w:val="0"/>
        <w:spacing w:after="0" w:line="240" w:lineRule="auto"/>
        <w:rPr>
          <w:rFonts w:ascii="TimesNewRomanPS-BoldMT" w:hAnsi="TimesNewRomanPS-BoldMT" w:cs="TimesNewRomanPS-BoldMT"/>
          <w:b/>
          <w:bCs/>
          <w:sz w:val="44"/>
          <w:szCs w:val="44"/>
        </w:rPr>
      </w:pPr>
      <w:r>
        <w:rPr>
          <w:rFonts w:ascii="TimesNewRomanPS-BoldMT" w:hAnsi="TimesNewRomanPS-BoldMT" w:cs="TimesNewRomanPS-BoldMT"/>
          <w:b/>
          <w:bCs/>
          <w:sz w:val="44"/>
          <w:szCs w:val="44"/>
        </w:rPr>
        <w:t>The C</w:t>
      </w:r>
      <w:r w:rsidRPr="008121E4">
        <w:rPr>
          <w:rFonts w:ascii="TimesNewRomanPS-BoldMT" w:hAnsi="TimesNewRomanPS-BoldMT" w:cs="TimesNewRomanPS-BoldMT"/>
          <w:b/>
          <w:bCs/>
          <w:sz w:val="44"/>
          <w:szCs w:val="44"/>
        </w:rPr>
        <w:t>ity of Auburn</w:t>
      </w:r>
    </w:p>
    <w:p w14:paraId="5E7DE9B0" w14:textId="77777777" w:rsidR="00A6302E" w:rsidRDefault="00A6302E" w:rsidP="00A6302E">
      <w:pPr>
        <w:autoSpaceDE w:val="0"/>
        <w:autoSpaceDN w:val="0"/>
        <w:adjustRightInd w:val="0"/>
        <w:spacing w:after="0" w:line="240" w:lineRule="auto"/>
        <w:rPr>
          <w:rFonts w:ascii="TimesNewRomanPS-BoldMT" w:hAnsi="TimesNewRomanPS-BoldMT" w:cs="TimesNewRomanPS-BoldMT"/>
          <w:b/>
          <w:bCs/>
          <w:sz w:val="32"/>
          <w:szCs w:val="32"/>
        </w:rPr>
      </w:pPr>
    </w:p>
    <w:p w14:paraId="1F7AF4F5" w14:textId="13280385" w:rsidR="00A6302E" w:rsidRDefault="00A6302E" w:rsidP="00A6302E">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The Chlorine detectable residual .8</w:t>
      </w:r>
      <w:r w:rsidR="004D2EA4">
        <w:rPr>
          <w:rFonts w:ascii="TimesNewRomanPS-BoldMT" w:hAnsi="TimesNewRomanPS-BoldMT" w:cs="TimesNewRomanPS-BoldMT"/>
          <w:b/>
          <w:bCs/>
          <w:sz w:val="20"/>
          <w:szCs w:val="20"/>
        </w:rPr>
        <w:t>7</w:t>
      </w:r>
      <w:r>
        <w:rPr>
          <w:rFonts w:ascii="TimesNewRomanPS-BoldMT" w:hAnsi="TimesNewRomanPS-BoldMT" w:cs="TimesNewRomanPS-BoldMT"/>
          <w:b/>
          <w:bCs/>
          <w:sz w:val="20"/>
          <w:szCs w:val="20"/>
        </w:rPr>
        <w:t xml:space="preserve"> ppm average.</w:t>
      </w:r>
    </w:p>
    <w:p w14:paraId="4B1423AF" w14:textId="77777777" w:rsidR="00A6302E" w:rsidRDefault="00A6302E" w:rsidP="00A6302E">
      <w:pPr>
        <w:autoSpaceDE w:val="0"/>
        <w:autoSpaceDN w:val="0"/>
        <w:adjustRightInd w:val="0"/>
        <w:spacing w:after="0" w:line="240" w:lineRule="auto"/>
        <w:rPr>
          <w:rFonts w:ascii="TimesNewRomanPS-BoldMT" w:hAnsi="TimesNewRomanPS-BoldMT" w:cs="TimesNewRomanPS-BoldMT"/>
          <w:b/>
          <w:bCs/>
          <w:sz w:val="20"/>
          <w:szCs w:val="20"/>
        </w:rPr>
      </w:pPr>
    </w:p>
    <w:p w14:paraId="5EA9D1C1" w14:textId="77777777" w:rsidR="00A6302E" w:rsidRDefault="00A6302E" w:rsidP="00A6302E">
      <w:pPr>
        <w:autoSpaceDE w:val="0"/>
        <w:autoSpaceDN w:val="0"/>
        <w:adjustRightInd w:val="0"/>
        <w:spacing w:after="0" w:line="240" w:lineRule="auto"/>
        <w:rPr>
          <w:rFonts w:ascii="Arial-BoldMT" w:hAnsi="Arial-BoldMT" w:cs="Arial-BoldMT"/>
          <w:b/>
          <w:bCs/>
          <w:sz w:val="16"/>
          <w:szCs w:val="16"/>
        </w:rPr>
      </w:pPr>
      <w:r w:rsidRPr="008919EC">
        <w:rPr>
          <w:rFonts w:ascii="Georgia-Bold" w:hAnsi="Georgia-Bold" w:cs="Georgia-Bold"/>
          <w:b/>
          <w:bCs/>
          <w:sz w:val="34"/>
          <w:szCs w:val="34"/>
        </w:rPr>
        <w:t xml:space="preserve"> </w:t>
      </w:r>
      <w:r>
        <w:rPr>
          <w:rFonts w:ascii="Georgia-Bold" w:hAnsi="Georgia-Bold" w:cs="Georgia-Bold"/>
          <w:b/>
          <w:bCs/>
          <w:sz w:val="34"/>
          <w:szCs w:val="34"/>
        </w:rPr>
        <w:t>S</w:t>
      </w:r>
      <w:r>
        <w:rPr>
          <w:rFonts w:ascii="Arial-BoldMT" w:hAnsi="Arial-BoldMT" w:cs="Arial-BoldMT"/>
          <w:b/>
          <w:bCs/>
          <w:sz w:val="20"/>
          <w:szCs w:val="20"/>
        </w:rPr>
        <w:t xml:space="preserve">ubstance </w:t>
      </w:r>
      <w:r>
        <w:rPr>
          <w:rFonts w:ascii="Arial-BoldMT" w:hAnsi="Arial-BoldMT" w:cs="Arial-BoldMT"/>
          <w:b/>
          <w:bCs/>
          <w:sz w:val="16"/>
          <w:szCs w:val="16"/>
        </w:rPr>
        <w:t>Units MCL MCLG System Violations Source of Substance</w:t>
      </w:r>
    </w:p>
    <w:p w14:paraId="33E0C982" w14:textId="77777777" w:rsidR="00A6302E" w:rsidRDefault="00A6302E" w:rsidP="00A6302E">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Results (YES/NO)</w:t>
      </w:r>
    </w:p>
    <w:p w14:paraId="519F4562" w14:textId="0B53D81E" w:rsidR="00A6302E" w:rsidRDefault="00A6302E" w:rsidP="00A6302E">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Fluoride </w:t>
      </w:r>
      <w:r>
        <w:rPr>
          <w:rFonts w:ascii="ArialMT" w:hAnsi="ArialMT" w:cs="ArialMT"/>
          <w:sz w:val="20"/>
          <w:szCs w:val="20"/>
        </w:rPr>
        <w:t xml:space="preserve">ppm 4.0 4.0 </w:t>
      </w:r>
      <w:r>
        <w:rPr>
          <w:rFonts w:ascii="TimesNewRomanPS-BoldMT" w:hAnsi="TimesNewRomanPS-BoldMT" w:cs="TimesNewRomanPS-BoldMT"/>
          <w:b/>
          <w:bCs/>
          <w:sz w:val="20"/>
          <w:szCs w:val="20"/>
        </w:rPr>
        <w:t>detectable residual .</w:t>
      </w:r>
      <w:r w:rsidR="00C87EFA">
        <w:rPr>
          <w:rFonts w:ascii="TimesNewRomanPS-BoldMT" w:hAnsi="TimesNewRomanPS-BoldMT" w:cs="TimesNewRomanPS-BoldMT"/>
          <w:b/>
          <w:bCs/>
          <w:sz w:val="20"/>
          <w:szCs w:val="20"/>
        </w:rPr>
        <w:t>76</w:t>
      </w:r>
      <w:r>
        <w:rPr>
          <w:rFonts w:ascii="TimesNewRomanPS-BoldMT" w:hAnsi="TimesNewRomanPS-BoldMT" w:cs="TimesNewRomanPS-BoldMT"/>
          <w:b/>
          <w:bCs/>
          <w:sz w:val="20"/>
          <w:szCs w:val="20"/>
        </w:rPr>
        <w:t xml:space="preserve"> ppm average no mcl violations.</w:t>
      </w:r>
    </w:p>
    <w:p w14:paraId="6635B38A" w14:textId="77777777" w:rsidR="00A6302E" w:rsidRDefault="00A6302E" w:rsidP="00A630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Water additive that promotes</w:t>
      </w:r>
    </w:p>
    <w:p w14:paraId="3535A766" w14:textId="77777777" w:rsidR="00A6302E" w:rsidRDefault="00A6302E" w:rsidP="00A630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Strong teeth; discharge from</w:t>
      </w:r>
    </w:p>
    <w:p w14:paraId="6663CDF7" w14:textId="77777777" w:rsidR="00A6302E" w:rsidRDefault="00A6302E" w:rsidP="00A6302E">
      <w:pPr>
        <w:autoSpaceDE w:val="0"/>
        <w:autoSpaceDN w:val="0"/>
        <w:adjustRightInd w:val="0"/>
        <w:spacing w:after="0" w:line="240" w:lineRule="auto"/>
        <w:rPr>
          <w:rFonts w:ascii="TimesNewRomanPS-BoldMT" w:hAnsi="TimesNewRomanPS-BoldMT" w:cs="TimesNewRomanPS-BoldMT"/>
          <w:b/>
          <w:bCs/>
          <w:sz w:val="20"/>
          <w:szCs w:val="20"/>
        </w:rPr>
      </w:pPr>
      <w:r>
        <w:rPr>
          <w:rFonts w:ascii="ArialMT" w:hAnsi="ArialMT" w:cs="ArialMT"/>
          <w:sz w:val="20"/>
          <w:szCs w:val="20"/>
        </w:rPr>
        <w:t>Fertilizer and aluminum factories</w:t>
      </w:r>
    </w:p>
    <w:p w14:paraId="1DE17BBC" w14:textId="77777777" w:rsidR="00A6302E" w:rsidRDefault="00A6302E" w:rsidP="00A6302E">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Average P.H 7.28</w:t>
      </w:r>
    </w:p>
    <w:p w14:paraId="6E54B090" w14:textId="77777777" w:rsidR="00A6302E" w:rsidRDefault="00A6302E" w:rsidP="00A6302E">
      <w:pPr>
        <w:autoSpaceDE w:val="0"/>
        <w:autoSpaceDN w:val="0"/>
        <w:adjustRightInd w:val="0"/>
        <w:spacing w:after="0" w:line="240" w:lineRule="auto"/>
        <w:rPr>
          <w:rFonts w:ascii="TimesNewRomanPS-BoldMT" w:hAnsi="TimesNewRomanPS-BoldMT" w:cs="TimesNewRomanPS-BoldMT"/>
          <w:b/>
          <w:bCs/>
          <w:sz w:val="20"/>
          <w:szCs w:val="20"/>
        </w:rPr>
      </w:pPr>
    </w:p>
    <w:p w14:paraId="42067947" w14:textId="0982A3B3" w:rsidR="00A6302E" w:rsidRDefault="00A6302E" w:rsidP="00A6302E">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Turbidity </w:t>
      </w:r>
      <w:r>
        <w:rPr>
          <w:rFonts w:ascii="ArialMT" w:hAnsi="ArialMT" w:cs="ArialMT"/>
          <w:sz w:val="20"/>
          <w:szCs w:val="20"/>
        </w:rPr>
        <w:t xml:space="preserve">NTU </w:t>
      </w:r>
      <w:r>
        <w:rPr>
          <w:rFonts w:ascii="ArialMT" w:hAnsi="ArialMT" w:cs="ArialMT"/>
          <w:sz w:val="18"/>
          <w:szCs w:val="18"/>
        </w:rPr>
        <w:t xml:space="preserve">&lt;.30 NTU in 95% of </w:t>
      </w:r>
      <w:r>
        <w:rPr>
          <w:rFonts w:ascii="ArialMT" w:hAnsi="ArialMT" w:cs="ArialMT"/>
          <w:sz w:val="20"/>
          <w:szCs w:val="20"/>
        </w:rPr>
        <w:t xml:space="preserve">N/A </w:t>
      </w:r>
      <w:r w:rsidRPr="00865684">
        <w:rPr>
          <w:rFonts w:ascii="ArialMT" w:hAnsi="ArialMT" w:cs="ArialMT"/>
          <w:b/>
          <w:sz w:val="20"/>
          <w:szCs w:val="20"/>
        </w:rPr>
        <w:t>Average</w:t>
      </w:r>
      <w:r>
        <w:rPr>
          <w:rFonts w:ascii="TimesNewRomanPS-BoldMT" w:hAnsi="TimesNewRomanPS-BoldMT" w:cs="TimesNewRomanPS-BoldMT"/>
          <w:b/>
          <w:bCs/>
          <w:sz w:val="20"/>
          <w:szCs w:val="20"/>
        </w:rPr>
        <w:t xml:space="preserve"> turbidity 0.</w:t>
      </w:r>
      <w:r w:rsidR="00C87EFA">
        <w:rPr>
          <w:rFonts w:ascii="TimesNewRomanPS-BoldMT" w:hAnsi="TimesNewRomanPS-BoldMT" w:cs="TimesNewRomanPS-BoldMT"/>
          <w:b/>
          <w:bCs/>
          <w:sz w:val="20"/>
          <w:szCs w:val="20"/>
        </w:rPr>
        <w:t>09</w:t>
      </w:r>
      <w:r>
        <w:rPr>
          <w:rFonts w:ascii="TimesNewRomanPS-BoldMT" w:hAnsi="TimesNewRomanPS-BoldMT" w:cs="TimesNewRomanPS-BoldMT"/>
          <w:b/>
          <w:bCs/>
          <w:sz w:val="20"/>
          <w:szCs w:val="20"/>
        </w:rPr>
        <w:t xml:space="preserve"> </w:t>
      </w:r>
      <w:proofErr w:type="spellStart"/>
      <w:r>
        <w:rPr>
          <w:rFonts w:ascii="TimesNewRomanPS-BoldMT" w:hAnsi="TimesNewRomanPS-BoldMT" w:cs="TimesNewRomanPS-BoldMT"/>
          <w:b/>
          <w:bCs/>
          <w:sz w:val="20"/>
          <w:szCs w:val="20"/>
        </w:rPr>
        <w:t>ntu</w:t>
      </w:r>
      <w:proofErr w:type="spellEnd"/>
      <w:r>
        <w:rPr>
          <w:rFonts w:ascii="ArialMT" w:hAnsi="ArialMT" w:cs="ArialMT"/>
          <w:sz w:val="20"/>
          <w:szCs w:val="20"/>
        </w:rPr>
        <w:t xml:space="preserve"> NO mcl violations</w:t>
      </w:r>
    </w:p>
    <w:p w14:paraId="0D67611A" w14:textId="77777777" w:rsidR="00A6302E" w:rsidRDefault="00A6302E" w:rsidP="00A630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 100% Soil Runoff</w:t>
      </w:r>
    </w:p>
    <w:p w14:paraId="5204E0C9" w14:textId="77777777" w:rsidR="00A6302E" w:rsidRDefault="00A6302E" w:rsidP="00A6302E">
      <w:pPr>
        <w:autoSpaceDE w:val="0"/>
        <w:autoSpaceDN w:val="0"/>
        <w:adjustRightInd w:val="0"/>
        <w:spacing w:after="0" w:line="240" w:lineRule="auto"/>
        <w:rPr>
          <w:rFonts w:ascii="ArialMT" w:hAnsi="ArialMT" w:cs="ArialMT"/>
          <w:sz w:val="18"/>
          <w:szCs w:val="18"/>
        </w:rPr>
      </w:pPr>
      <w:r>
        <w:rPr>
          <w:rFonts w:ascii="ArialMT" w:hAnsi="ArialMT" w:cs="ArialMT"/>
          <w:sz w:val="18"/>
          <w:szCs w:val="18"/>
        </w:rPr>
        <w:t>Samples/month</w:t>
      </w:r>
    </w:p>
    <w:p w14:paraId="20305DA8" w14:textId="77777777" w:rsidR="00A6302E" w:rsidRDefault="00A6302E" w:rsidP="00A6302E">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 </w:t>
      </w:r>
    </w:p>
    <w:p w14:paraId="7A85B950" w14:textId="77777777" w:rsidR="00A6302E" w:rsidRDefault="00A6302E" w:rsidP="00A6302E">
      <w:pPr>
        <w:autoSpaceDE w:val="0"/>
        <w:autoSpaceDN w:val="0"/>
        <w:adjustRightInd w:val="0"/>
        <w:spacing w:after="0" w:line="240" w:lineRule="auto"/>
        <w:rPr>
          <w:rFonts w:ascii="TimesNewRomanPS-BoldMT" w:hAnsi="TimesNewRomanPS-BoldMT" w:cs="TimesNewRomanPS-BoldMT"/>
          <w:b/>
          <w:bCs/>
          <w:sz w:val="20"/>
          <w:szCs w:val="20"/>
        </w:rPr>
      </w:pPr>
    </w:p>
    <w:p w14:paraId="7723369C" w14:textId="77777777" w:rsidR="00A6302E" w:rsidRDefault="00A6302E" w:rsidP="00A6302E">
      <w:pPr>
        <w:autoSpaceDE w:val="0"/>
        <w:autoSpaceDN w:val="0"/>
        <w:adjustRightInd w:val="0"/>
        <w:spacing w:after="0" w:line="240" w:lineRule="auto"/>
        <w:rPr>
          <w:rFonts w:ascii="Arial-BoldMT" w:hAnsi="Arial-BoldMT" w:cs="Arial-BoldMT"/>
          <w:b/>
          <w:bCs/>
          <w:sz w:val="16"/>
          <w:szCs w:val="16"/>
        </w:rPr>
      </w:pPr>
      <w:r>
        <w:rPr>
          <w:rFonts w:ascii="Georgia-Bold" w:hAnsi="Georgia-Bold" w:cs="Georgia-Bold"/>
          <w:b/>
          <w:bCs/>
          <w:sz w:val="34"/>
          <w:szCs w:val="34"/>
        </w:rPr>
        <w:t>S</w:t>
      </w:r>
      <w:r>
        <w:rPr>
          <w:rFonts w:ascii="Arial-BoldMT" w:hAnsi="Arial-BoldMT" w:cs="Arial-BoldMT"/>
          <w:b/>
          <w:bCs/>
          <w:sz w:val="20"/>
          <w:szCs w:val="20"/>
        </w:rPr>
        <w:t xml:space="preserve">ubstance </w:t>
      </w:r>
      <w:r>
        <w:rPr>
          <w:rFonts w:ascii="Arial-BoldMT" w:hAnsi="Arial-BoldMT" w:cs="Arial-BoldMT"/>
          <w:b/>
          <w:bCs/>
          <w:sz w:val="16"/>
          <w:szCs w:val="16"/>
        </w:rPr>
        <w:t>Units MCL Violation Amount Source of Substance</w:t>
      </w:r>
    </w:p>
    <w:p w14:paraId="1CF2E4F4" w14:textId="77777777" w:rsidR="00A6302E" w:rsidRDefault="00A6302E" w:rsidP="00A6302E">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(YES/NO) Detected</w:t>
      </w:r>
    </w:p>
    <w:p w14:paraId="2D4615DF" w14:textId="2FBA11DB" w:rsidR="00A6302E" w:rsidRDefault="00A6302E" w:rsidP="00A6302E">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Total Trihalomethanes </w:t>
      </w:r>
      <w:r>
        <w:rPr>
          <w:rFonts w:ascii="ArialMT" w:hAnsi="ArialMT" w:cs="ArialMT"/>
          <w:sz w:val="20"/>
          <w:szCs w:val="20"/>
        </w:rPr>
        <w:t xml:space="preserve">ppb 80 detectable level </w:t>
      </w:r>
      <w:r w:rsidR="00C87EFA">
        <w:rPr>
          <w:rFonts w:ascii="ArialMT" w:hAnsi="ArialMT" w:cs="ArialMT"/>
          <w:sz w:val="20"/>
          <w:szCs w:val="20"/>
        </w:rPr>
        <w:t>21.20</w:t>
      </w:r>
      <w:r>
        <w:rPr>
          <w:rFonts w:ascii="ArialMT" w:hAnsi="ArialMT" w:cs="ArialMT"/>
          <w:sz w:val="20"/>
          <w:szCs w:val="20"/>
        </w:rPr>
        <w:t xml:space="preserve"> NO mcl violations.</w:t>
      </w:r>
    </w:p>
    <w:p w14:paraId="74C1CC72" w14:textId="77777777" w:rsidR="00A6302E" w:rsidRDefault="00A6302E" w:rsidP="00A630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By-product of drinking</w:t>
      </w:r>
    </w:p>
    <w:p w14:paraId="49CD39B5" w14:textId="77777777" w:rsidR="00A6302E" w:rsidRDefault="00A6302E" w:rsidP="00A630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Water chlorination.</w:t>
      </w:r>
    </w:p>
    <w:p w14:paraId="612BBE2D" w14:textId="77777777" w:rsidR="00A6302E" w:rsidRDefault="00A6302E" w:rsidP="00A6302E">
      <w:pPr>
        <w:autoSpaceDE w:val="0"/>
        <w:autoSpaceDN w:val="0"/>
        <w:adjustRightInd w:val="0"/>
        <w:spacing w:after="0" w:line="240" w:lineRule="auto"/>
        <w:rPr>
          <w:rFonts w:ascii="Arial-BoldMT" w:hAnsi="Arial-BoldMT" w:cs="Arial-BoldMT"/>
          <w:b/>
          <w:bCs/>
          <w:sz w:val="20"/>
          <w:szCs w:val="20"/>
        </w:rPr>
      </w:pPr>
    </w:p>
    <w:p w14:paraId="662BB3FD" w14:textId="38A28320" w:rsidR="00A6302E" w:rsidRDefault="00A6302E" w:rsidP="00A6302E">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 Total </w:t>
      </w:r>
      <w:proofErr w:type="spellStart"/>
      <w:r>
        <w:rPr>
          <w:rFonts w:ascii="Arial-BoldMT" w:hAnsi="Arial-BoldMT" w:cs="Arial-BoldMT"/>
          <w:b/>
          <w:bCs/>
          <w:sz w:val="20"/>
          <w:szCs w:val="20"/>
        </w:rPr>
        <w:t>Haloacetic</w:t>
      </w:r>
      <w:proofErr w:type="spellEnd"/>
      <w:r>
        <w:rPr>
          <w:rFonts w:ascii="Arial-BoldMT" w:hAnsi="Arial-BoldMT" w:cs="Arial-BoldMT"/>
          <w:b/>
          <w:bCs/>
          <w:sz w:val="20"/>
          <w:szCs w:val="20"/>
        </w:rPr>
        <w:t xml:space="preserve"> Acids </w:t>
      </w:r>
      <w:r>
        <w:rPr>
          <w:rFonts w:ascii="ArialMT" w:hAnsi="ArialMT" w:cs="ArialMT"/>
          <w:sz w:val="20"/>
          <w:szCs w:val="20"/>
        </w:rPr>
        <w:t xml:space="preserve">ppb 60 detectable level </w:t>
      </w:r>
      <w:r w:rsidR="00C87EFA">
        <w:rPr>
          <w:rFonts w:ascii="ArialMT" w:hAnsi="ArialMT" w:cs="ArialMT"/>
          <w:sz w:val="20"/>
          <w:szCs w:val="20"/>
        </w:rPr>
        <w:t>10.11</w:t>
      </w:r>
      <w:r>
        <w:rPr>
          <w:rFonts w:ascii="ArialMT" w:hAnsi="ArialMT" w:cs="ArialMT"/>
          <w:sz w:val="20"/>
          <w:szCs w:val="20"/>
        </w:rPr>
        <w:t xml:space="preserve"> no mcl violations</w:t>
      </w:r>
    </w:p>
    <w:p w14:paraId="35A4E37A" w14:textId="77777777" w:rsidR="00A6302E" w:rsidRDefault="00A6302E" w:rsidP="00A630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 By-product of drinking</w:t>
      </w:r>
    </w:p>
    <w:p w14:paraId="11B78EBF" w14:textId="77777777" w:rsidR="00A6302E" w:rsidRDefault="00A6302E" w:rsidP="00A630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Water chlorination.</w:t>
      </w:r>
    </w:p>
    <w:p w14:paraId="49EBFD8B" w14:textId="77777777" w:rsidR="00A6302E" w:rsidRDefault="00A6302E" w:rsidP="00A6302E">
      <w:pPr>
        <w:autoSpaceDE w:val="0"/>
        <w:autoSpaceDN w:val="0"/>
        <w:adjustRightInd w:val="0"/>
        <w:spacing w:after="0" w:line="240" w:lineRule="auto"/>
        <w:rPr>
          <w:rFonts w:ascii="Arial-BoldMT" w:hAnsi="Arial-BoldMT" w:cs="Arial-BoldMT"/>
          <w:b/>
          <w:bCs/>
          <w:sz w:val="20"/>
          <w:szCs w:val="20"/>
        </w:rPr>
      </w:pPr>
    </w:p>
    <w:p w14:paraId="7D6A9442" w14:textId="77777777" w:rsidR="00A6302E" w:rsidRDefault="00A6302E" w:rsidP="00A6302E">
      <w:pPr>
        <w:autoSpaceDE w:val="0"/>
        <w:autoSpaceDN w:val="0"/>
        <w:adjustRightInd w:val="0"/>
        <w:spacing w:after="0" w:line="240" w:lineRule="auto"/>
        <w:rPr>
          <w:rFonts w:ascii="Arial-BoldMT" w:hAnsi="Arial-BoldMT" w:cs="Arial-BoldMT"/>
          <w:b/>
          <w:bCs/>
          <w:sz w:val="20"/>
          <w:szCs w:val="20"/>
        </w:rPr>
      </w:pPr>
    </w:p>
    <w:p w14:paraId="7CC6B537" w14:textId="32965606" w:rsidR="00A6302E" w:rsidRDefault="00A6302E" w:rsidP="00A6302E">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Chloroform </w:t>
      </w:r>
      <w:r>
        <w:rPr>
          <w:rFonts w:ascii="ArialMT" w:hAnsi="ArialMT" w:cs="ArialMT"/>
          <w:sz w:val="20"/>
          <w:szCs w:val="20"/>
        </w:rPr>
        <w:t>ppb N/A 5</w:t>
      </w:r>
      <w:r w:rsidR="00C87EFA">
        <w:rPr>
          <w:rFonts w:ascii="ArialMT" w:hAnsi="ArialMT" w:cs="ArialMT"/>
          <w:sz w:val="20"/>
          <w:szCs w:val="20"/>
        </w:rPr>
        <w:t>7</w:t>
      </w:r>
      <w:r>
        <w:rPr>
          <w:rFonts w:ascii="ArialMT" w:hAnsi="ArialMT" w:cs="ArialMT"/>
          <w:sz w:val="20"/>
          <w:szCs w:val="20"/>
        </w:rPr>
        <w:t>.</w:t>
      </w:r>
      <w:r w:rsidR="00C87EFA">
        <w:rPr>
          <w:rFonts w:ascii="ArialMT" w:hAnsi="ArialMT" w:cs="ArialMT"/>
          <w:sz w:val="20"/>
          <w:szCs w:val="20"/>
        </w:rPr>
        <w:t>52</w:t>
      </w:r>
      <w:r>
        <w:rPr>
          <w:rFonts w:ascii="Arial-BoldMT" w:hAnsi="Arial-BoldMT" w:cs="Arial-BoldMT"/>
          <w:b/>
          <w:bCs/>
          <w:sz w:val="20"/>
          <w:szCs w:val="20"/>
        </w:rPr>
        <w:t xml:space="preserve"> ppb</w:t>
      </w:r>
      <w:r>
        <w:rPr>
          <w:rFonts w:ascii="ArialMT" w:hAnsi="ArialMT" w:cs="ArialMT"/>
          <w:sz w:val="20"/>
          <w:szCs w:val="20"/>
        </w:rPr>
        <w:t xml:space="preserve"> NO mcl violation</w:t>
      </w:r>
    </w:p>
    <w:p w14:paraId="6E22E7F4" w14:textId="77777777" w:rsidR="00A6302E" w:rsidRDefault="00A6302E" w:rsidP="00A630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By-product of drinking</w:t>
      </w:r>
    </w:p>
    <w:p w14:paraId="4C2967E9" w14:textId="77777777" w:rsidR="00A6302E" w:rsidRDefault="00A6302E" w:rsidP="00A630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Water chlorination.</w:t>
      </w:r>
    </w:p>
    <w:p w14:paraId="6B84419D" w14:textId="77777777" w:rsidR="00A6302E" w:rsidRDefault="00A6302E" w:rsidP="00A6302E">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 xml:space="preserve"> </w:t>
      </w:r>
    </w:p>
    <w:p w14:paraId="4BD61A6C" w14:textId="77777777" w:rsidR="00A6302E" w:rsidRDefault="00A6302E" w:rsidP="00A6302E">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MICROBIOLOGICAL</w:t>
      </w:r>
    </w:p>
    <w:p w14:paraId="6FC07AC5" w14:textId="79D7431B" w:rsidR="00A6302E" w:rsidRDefault="00A6302E" w:rsidP="00A630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The mcl is 1 per month in 2017 the city of Auburn had no positive for bacteria samples.</w:t>
      </w:r>
    </w:p>
    <w:p w14:paraId="4632DA17" w14:textId="77777777" w:rsidR="00A6302E" w:rsidRDefault="00A6302E" w:rsidP="00A630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Naturally present in the environment.</w:t>
      </w:r>
    </w:p>
    <w:p w14:paraId="27E58E61" w14:textId="77777777" w:rsidR="00A6302E" w:rsidRDefault="00A6302E" w:rsidP="00A6302E">
      <w:pPr>
        <w:autoSpaceDE w:val="0"/>
        <w:autoSpaceDN w:val="0"/>
        <w:adjustRightInd w:val="0"/>
        <w:spacing w:after="0" w:line="240" w:lineRule="auto"/>
        <w:rPr>
          <w:rFonts w:ascii="ArialMT" w:hAnsi="ArialMT" w:cs="ArialMT"/>
          <w:sz w:val="20"/>
          <w:szCs w:val="20"/>
        </w:rPr>
      </w:pPr>
    </w:p>
    <w:p w14:paraId="2C93F9E7" w14:textId="1C8B11D8" w:rsidR="00A6302E" w:rsidRDefault="007C17CC" w:rsidP="00A630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 </w:t>
      </w:r>
    </w:p>
    <w:p w14:paraId="347CC74A" w14:textId="77777777" w:rsidR="00A6302E" w:rsidRDefault="00A6302E" w:rsidP="002E104C">
      <w:pPr>
        <w:spacing w:after="0" w:line="259" w:lineRule="auto"/>
        <w:ind w:left="165"/>
        <w:rPr>
          <w:rFonts w:ascii="Times New Roman" w:eastAsia="Times New Roman" w:hAnsi="Times New Roman" w:cs="Times New Roman"/>
          <w:color w:val="000000"/>
          <w:sz w:val="34"/>
        </w:rPr>
      </w:pPr>
    </w:p>
    <w:p w14:paraId="5175C774" w14:textId="77777777" w:rsidR="002E104C" w:rsidRDefault="002E104C" w:rsidP="002E104C">
      <w:pPr>
        <w:spacing w:after="0" w:line="259" w:lineRule="auto"/>
        <w:ind w:left="165"/>
        <w:rPr>
          <w:rFonts w:ascii="Times New Roman" w:eastAsia="Times New Roman" w:hAnsi="Times New Roman" w:cs="Times New Roman"/>
          <w:color w:val="000000"/>
          <w:sz w:val="34"/>
        </w:rPr>
      </w:pPr>
    </w:p>
    <w:p w14:paraId="557F0F68" w14:textId="77777777" w:rsidR="002E104C" w:rsidRDefault="002E104C" w:rsidP="002E104C">
      <w:pPr>
        <w:spacing w:after="0" w:line="259" w:lineRule="auto"/>
        <w:ind w:left="165"/>
        <w:rPr>
          <w:rFonts w:ascii="Times New Roman" w:eastAsia="Times New Roman" w:hAnsi="Times New Roman" w:cs="Times New Roman"/>
          <w:color w:val="000000"/>
          <w:sz w:val="34"/>
        </w:rPr>
      </w:pPr>
    </w:p>
    <w:p w14:paraId="53BF582A" w14:textId="77777777" w:rsidR="00A6302E" w:rsidRDefault="00A6302E" w:rsidP="002E104C">
      <w:pPr>
        <w:spacing w:after="0" w:line="259" w:lineRule="auto"/>
        <w:ind w:left="165"/>
        <w:rPr>
          <w:rFonts w:ascii="Times New Roman" w:eastAsia="Times New Roman" w:hAnsi="Times New Roman" w:cs="Times New Roman"/>
          <w:color w:val="000000"/>
          <w:sz w:val="34"/>
        </w:rPr>
      </w:pPr>
    </w:p>
    <w:p w14:paraId="613529C7" w14:textId="77777777" w:rsidR="00A6302E" w:rsidRDefault="00A6302E" w:rsidP="002E104C">
      <w:pPr>
        <w:spacing w:after="0" w:line="259" w:lineRule="auto"/>
        <w:ind w:left="165"/>
        <w:rPr>
          <w:rFonts w:ascii="Times New Roman" w:eastAsia="Times New Roman" w:hAnsi="Times New Roman" w:cs="Times New Roman"/>
          <w:color w:val="000000"/>
          <w:sz w:val="34"/>
        </w:rPr>
      </w:pPr>
    </w:p>
    <w:p w14:paraId="20C6D664" w14:textId="239D3634" w:rsidR="002E104C" w:rsidRPr="002E104C" w:rsidRDefault="002E104C" w:rsidP="002E104C">
      <w:pPr>
        <w:spacing w:after="0" w:line="259" w:lineRule="auto"/>
        <w:ind w:left="165"/>
        <w:rPr>
          <w:rFonts w:ascii="Times New Roman" w:eastAsia="Times New Roman" w:hAnsi="Times New Roman" w:cs="Times New Roman"/>
          <w:color w:val="000000"/>
        </w:rPr>
      </w:pPr>
      <w:r w:rsidRPr="002E104C">
        <w:rPr>
          <w:rFonts w:ascii="Times New Roman" w:eastAsia="Times New Roman" w:hAnsi="Times New Roman" w:cs="Times New Roman"/>
          <w:color w:val="000000"/>
          <w:sz w:val="34"/>
        </w:rPr>
        <w:lastRenderedPageBreak/>
        <w:t>Barrow County Water Authority</w:t>
      </w:r>
    </w:p>
    <w:p w14:paraId="071B778C" w14:textId="77777777" w:rsidR="002E104C" w:rsidRPr="002E104C" w:rsidRDefault="002E104C" w:rsidP="002E104C">
      <w:pPr>
        <w:spacing w:after="0" w:line="259" w:lineRule="auto"/>
        <w:rPr>
          <w:rFonts w:ascii="Times New Roman" w:eastAsia="Times New Roman" w:hAnsi="Times New Roman" w:cs="Times New Roman"/>
          <w:color w:val="000000"/>
        </w:rPr>
      </w:pPr>
      <w:r w:rsidRPr="002E104C">
        <w:rPr>
          <w:rFonts w:ascii="Times New Roman" w:eastAsia="Times New Roman" w:hAnsi="Times New Roman" w:cs="Times New Roman"/>
          <w:color w:val="000000"/>
          <w:sz w:val="24"/>
        </w:rPr>
        <w:t>DETECTED CONTAMINANTS TABLE 2017</w:t>
      </w:r>
    </w:p>
    <w:p w14:paraId="43C5F8B2" w14:textId="77777777" w:rsidR="002E104C" w:rsidRPr="002E104C" w:rsidRDefault="002E104C" w:rsidP="002E104C">
      <w:pPr>
        <w:tabs>
          <w:tab w:val="center" w:pos="1713"/>
          <w:tab w:val="center" w:pos="2751"/>
          <w:tab w:val="center" w:pos="3911"/>
        </w:tabs>
        <w:spacing w:after="0" w:line="259" w:lineRule="auto"/>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rPr>
        <w:tab/>
      </w:r>
      <w:r w:rsidRPr="002E104C">
        <w:rPr>
          <w:rFonts w:ascii="Times New Roman" w:eastAsia="Times New Roman" w:hAnsi="Times New Roman" w:cs="Times New Roman"/>
          <w:color w:val="000000"/>
          <w:sz w:val="20"/>
          <w:u w:val="single" w:color="000000"/>
        </w:rPr>
        <w:t>Highest</w:t>
      </w:r>
      <w:r w:rsidRPr="002E104C">
        <w:rPr>
          <w:rFonts w:ascii="Times New Roman" w:eastAsia="Times New Roman" w:hAnsi="Times New Roman" w:cs="Times New Roman"/>
          <w:color w:val="000000"/>
          <w:sz w:val="20"/>
          <w:u w:val="single" w:color="000000"/>
        </w:rPr>
        <w:tab/>
      </w:r>
      <w:r w:rsidRPr="002E104C">
        <w:rPr>
          <w:rFonts w:ascii="Times New Roman" w:eastAsia="Times New Roman" w:hAnsi="Times New Roman" w:cs="Times New Roman"/>
          <w:color w:val="000000"/>
          <w:sz w:val="20"/>
        </w:rPr>
        <w:t xml:space="preserve"># </w:t>
      </w:r>
      <w:r w:rsidRPr="002E104C">
        <w:rPr>
          <w:rFonts w:ascii="Times New Roman" w:eastAsia="Times New Roman" w:hAnsi="Times New Roman" w:cs="Times New Roman"/>
          <w:color w:val="000000"/>
          <w:sz w:val="20"/>
          <w:u w:val="single" w:color="000000"/>
        </w:rPr>
        <w:t>Of</w:t>
      </w:r>
      <w:r w:rsidRPr="002E104C">
        <w:rPr>
          <w:rFonts w:ascii="Times New Roman" w:eastAsia="Times New Roman" w:hAnsi="Times New Roman" w:cs="Times New Roman"/>
          <w:color w:val="000000"/>
          <w:sz w:val="20"/>
          <w:u w:val="single" w:color="000000"/>
        </w:rPr>
        <w:tab/>
        <w:t>Violations</w:t>
      </w:r>
    </w:p>
    <w:p w14:paraId="1CE29F68" w14:textId="77777777" w:rsidR="002E104C" w:rsidRPr="002E104C" w:rsidRDefault="002E104C" w:rsidP="002E104C">
      <w:pPr>
        <w:spacing w:after="160" w:line="259" w:lineRule="auto"/>
        <w:rPr>
          <w:rFonts w:ascii="Times New Roman" w:eastAsia="Times New Roman" w:hAnsi="Times New Roman" w:cs="Times New Roman"/>
          <w:color w:val="000000"/>
        </w:rPr>
        <w:sectPr w:rsidR="002E104C" w:rsidRPr="002E104C">
          <w:pgSz w:w="12240" w:h="15840"/>
          <w:pgMar w:top="939" w:right="3635" w:bottom="1440" w:left="3829" w:header="720" w:footer="720" w:gutter="0"/>
          <w:cols w:space="720"/>
        </w:sectPr>
      </w:pPr>
    </w:p>
    <w:tbl>
      <w:tblPr>
        <w:tblStyle w:val="TableGrid"/>
        <w:tblW w:w="10380" w:type="dxa"/>
        <w:tblInd w:w="14" w:type="dxa"/>
        <w:tblLook w:val="04A0" w:firstRow="1" w:lastRow="0" w:firstColumn="1" w:lastColumn="0" w:noHBand="0" w:noVBand="1"/>
      </w:tblPr>
      <w:tblGrid>
        <w:gridCol w:w="900"/>
        <w:gridCol w:w="434"/>
        <w:gridCol w:w="10144"/>
      </w:tblGrid>
      <w:tr w:rsidR="002E104C" w:rsidRPr="002E104C" w14:paraId="5B47B571" w14:textId="77777777" w:rsidTr="00BE319A">
        <w:trPr>
          <w:trHeight w:val="220"/>
        </w:trPr>
        <w:tc>
          <w:tcPr>
            <w:tcW w:w="1731" w:type="dxa"/>
            <w:tcBorders>
              <w:top w:val="nil"/>
              <w:left w:val="nil"/>
              <w:bottom w:val="nil"/>
              <w:right w:val="nil"/>
            </w:tcBorders>
          </w:tcPr>
          <w:p w14:paraId="3D0A0AFC" w14:textId="77777777" w:rsidR="002E104C" w:rsidRPr="002E104C" w:rsidRDefault="002E104C" w:rsidP="002E104C">
            <w:pPr>
              <w:spacing w:after="0" w:line="259" w:lineRule="auto"/>
              <w:ind w:left="7"/>
              <w:rPr>
                <w:rFonts w:ascii="Times New Roman" w:eastAsia="Times New Roman" w:hAnsi="Times New Roman" w:cs="Times New Roman"/>
                <w:color w:val="000000"/>
              </w:rPr>
            </w:pPr>
            <w:r w:rsidRPr="002E104C">
              <w:rPr>
                <w:rFonts w:ascii="Times New Roman" w:eastAsia="Times New Roman" w:hAnsi="Times New Roman" w:cs="Times New Roman"/>
                <w:color w:val="000000"/>
                <w:u w:val="single" w:color="000000"/>
              </w:rPr>
              <w:t>Substance</w:t>
            </w:r>
          </w:p>
        </w:tc>
        <w:tc>
          <w:tcPr>
            <w:tcW w:w="510" w:type="dxa"/>
            <w:tcBorders>
              <w:top w:val="nil"/>
              <w:left w:val="nil"/>
              <w:bottom w:val="nil"/>
              <w:right w:val="nil"/>
            </w:tcBorders>
          </w:tcPr>
          <w:p w14:paraId="455433D9" w14:textId="77777777" w:rsidR="002E104C" w:rsidRPr="002E104C" w:rsidRDefault="002E104C" w:rsidP="002E104C">
            <w:pPr>
              <w:spacing w:after="0" w:line="259" w:lineRule="auto"/>
              <w:jc w:val="both"/>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u w:val="single" w:color="000000"/>
              </w:rPr>
              <w:t>Units</w:t>
            </w:r>
          </w:p>
        </w:tc>
        <w:tc>
          <w:tcPr>
            <w:tcW w:w="8138" w:type="dxa"/>
            <w:tcBorders>
              <w:top w:val="nil"/>
              <w:left w:val="nil"/>
              <w:bottom w:val="nil"/>
              <w:right w:val="nil"/>
            </w:tcBorders>
          </w:tcPr>
          <w:p w14:paraId="4A55DE8D" w14:textId="77777777" w:rsidR="002E104C" w:rsidRPr="002E104C" w:rsidRDefault="002E104C" w:rsidP="002E104C">
            <w:pPr>
              <w:tabs>
                <w:tab w:val="center" w:pos="474"/>
                <w:tab w:val="center" w:pos="1372"/>
                <w:tab w:val="center" w:pos="2363"/>
                <w:tab w:val="center" w:pos="3394"/>
                <w:tab w:val="center" w:pos="4561"/>
                <w:tab w:val="center" w:pos="6810"/>
              </w:tabs>
              <w:spacing w:after="0" w:line="259" w:lineRule="auto"/>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rPr>
              <w:tab/>
            </w:r>
            <w:r w:rsidRPr="002E104C">
              <w:rPr>
                <w:rFonts w:ascii="Times New Roman" w:eastAsia="Times New Roman" w:hAnsi="Times New Roman" w:cs="Times New Roman"/>
                <w:color w:val="000000"/>
                <w:sz w:val="20"/>
                <w:u w:val="single" w:color="000000"/>
              </w:rPr>
              <w:t>MCL</w:t>
            </w:r>
            <w:r w:rsidRPr="002E104C">
              <w:rPr>
                <w:rFonts w:ascii="Times New Roman" w:eastAsia="Times New Roman" w:hAnsi="Times New Roman" w:cs="Times New Roman"/>
                <w:color w:val="000000"/>
                <w:sz w:val="20"/>
                <w:u w:val="single" w:color="000000"/>
              </w:rPr>
              <w:tab/>
              <w:t>MCLG</w:t>
            </w:r>
            <w:r w:rsidRPr="002E104C">
              <w:rPr>
                <w:rFonts w:ascii="Times New Roman" w:eastAsia="Times New Roman" w:hAnsi="Times New Roman" w:cs="Times New Roman"/>
                <w:color w:val="000000"/>
                <w:sz w:val="20"/>
                <w:u w:val="single" w:color="000000"/>
              </w:rPr>
              <w:tab/>
              <w:t>Level</w:t>
            </w:r>
            <w:r w:rsidRPr="002E104C">
              <w:rPr>
                <w:rFonts w:ascii="Times New Roman" w:eastAsia="Times New Roman" w:hAnsi="Times New Roman" w:cs="Times New Roman"/>
                <w:color w:val="000000"/>
                <w:sz w:val="20"/>
                <w:u w:val="single" w:color="000000"/>
              </w:rPr>
              <w:tab/>
              <w:t>Samples</w:t>
            </w:r>
            <w:r w:rsidRPr="002E104C">
              <w:rPr>
                <w:rFonts w:ascii="Times New Roman" w:eastAsia="Times New Roman" w:hAnsi="Times New Roman" w:cs="Times New Roman"/>
                <w:color w:val="000000"/>
                <w:sz w:val="20"/>
                <w:u w:val="single" w:color="000000"/>
              </w:rPr>
              <w:tab/>
              <w:t>(YES/NO)</w:t>
            </w:r>
            <w:r w:rsidRPr="002E104C">
              <w:rPr>
                <w:rFonts w:ascii="Times New Roman" w:eastAsia="Times New Roman" w:hAnsi="Times New Roman" w:cs="Times New Roman"/>
                <w:color w:val="000000"/>
                <w:sz w:val="20"/>
                <w:u w:val="single" w:color="000000"/>
              </w:rPr>
              <w:tab/>
              <w:t>Source Of Substance</w:t>
            </w:r>
          </w:p>
        </w:tc>
      </w:tr>
      <w:tr w:rsidR="002E104C" w:rsidRPr="002E104C" w14:paraId="2C811121" w14:textId="77777777" w:rsidTr="00BE319A">
        <w:trPr>
          <w:trHeight w:val="757"/>
        </w:trPr>
        <w:tc>
          <w:tcPr>
            <w:tcW w:w="1731" w:type="dxa"/>
            <w:tcBorders>
              <w:top w:val="nil"/>
              <w:left w:val="nil"/>
              <w:bottom w:val="nil"/>
              <w:right w:val="nil"/>
            </w:tcBorders>
          </w:tcPr>
          <w:p w14:paraId="6908914E" w14:textId="77777777" w:rsidR="002E104C" w:rsidRPr="002E104C" w:rsidRDefault="002E104C" w:rsidP="002E104C">
            <w:pPr>
              <w:spacing w:after="0" w:line="259" w:lineRule="auto"/>
              <w:ind w:left="7"/>
              <w:rPr>
                <w:rFonts w:ascii="Times New Roman" w:eastAsia="Times New Roman" w:hAnsi="Times New Roman" w:cs="Times New Roman"/>
                <w:color w:val="000000"/>
              </w:rPr>
            </w:pPr>
            <w:r w:rsidRPr="002E104C">
              <w:rPr>
                <w:rFonts w:ascii="Times New Roman" w:eastAsia="Times New Roman" w:hAnsi="Times New Roman" w:cs="Times New Roman"/>
                <w:color w:val="000000"/>
                <w:sz w:val="24"/>
              </w:rPr>
              <w:t>Co</w:t>
            </w:r>
          </w:p>
        </w:tc>
        <w:tc>
          <w:tcPr>
            <w:tcW w:w="510" w:type="dxa"/>
            <w:tcBorders>
              <w:top w:val="nil"/>
              <w:left w:val="nil"/>
              <w:bottom w:val="nil"/>
              <w:right w:val="nil"/>
            </w:tcBorders>
          </w:tcPr>
          <w:p w14:paraId="08BB54B3" w14:textId="77777777" w:rsidR="002E104C" w:rsidRPr="002E104C" w:rsidRDefault="002E104C" w:rsidP="002E104C">
            <w:pPr>
              <w:spacing w:after="0" w:line="259" w:lineRule="auto"/>
              <w:ind w:left="259"/>
              <w:rPr>
                <w:rFonts w:ascii="Times New Roman" w:eastAsia="Times New Roman" w:hAnsi="Times New Roman" w:cs="Times New Roman"/>
                <w:color w:val="000000"/>
              </w:rPr>
            </w:pPr>
            <w:r w:rsidRPr="002E104C">
              <w:rPr>
                <w:rFonts w:ascii="Times New Roman" w:eastAsia="Times New Roman" w:hAnsi="Times New Roman" w:cs="Times New Roman"/>
                <w:noProof/>
                <w:color w:val="000000"/>
              </w:rPr>
              <w:drawing>
                <wp:inline distT="0" distB="0" distL="0" distR="0" wp14:anchorId="32B19947" wp14:editId="62520F09">
                  <wp:extent cx="104909" cy="91233"/>
                  <wp:effectExtent l="0" t="0" r="0" b="0"/>
                  <wp:docPr id="2123" name="Picture 2123"/>
                  <wp:cNvGraphicFramePr/>
                  <a:graphic xmlns:a="http://schemas.openxmlformats.org/drawingml/2006/main">
                    <a:graphicData uri="http://schemas.openxmlformats.org/drawingml/2006/picture">
                      <pic:pic xmlns:pic="http://schemas.openxmlformats.org/drawingml/2006/picture">
                        <pic:nvPicPr>
                          <pic:cNvPr id="2123" name="Picture 2123"/>
                          <pic:cNvPicPr/>
                        </pic:nvPicPr>
                        <pic:blipFill>
                          <a:blip r:embed="rId5"/>
                          <a:stretch>
                            <a:fillRect/>
                          </a:stretch>
                        </pic:blipFill>
                        <pic:spPr>
                          <a:xfrm>
                            <a:off x="0" y="0"/>
                            <a:ext cx="104909" cy="91233"/>
                          </a:xfrm>
                          <a:prstGeom prst="rect">
                            <a:avLst/>
                          </a:prstGeom>
                        </pic:spPr>
                      </pic:pic>
                    </a:graphicData>
                  </a:graphic>
                </wp:inline>
              </w:drawing>
            </w:r>
          </w:p>
        </w:tc>
        <w:tc>
          <w:tcPr>
            <w:tcW w:w="8138" w:type="dxa"/>
            <w:tcBorders>
              <w:top w:val="nil"/>
              <w:left w:val="nil"/>
              <w:bottom w:val="nil"/>
              <w:right w:val="nil"/>
            </w:tcBorders>
          </w:tcPr>
          <w:p w14:paraId="14E0256D" w14:textId="3E8504F9" w:rsidR="002E104C" w:rsidRDefault="002E104C" w:rsidP="002E104C">
            <w:pPr>
              <w:spacing w:after="0" w:line="259" w:lineRule="auto"/>
              <w:ind w:left="820" w:hanging="439"/>
              <w:rPr>
                <w:rFonts w:ascii="Times New Roman" w:eastAsia="Times New Roman" w:hAnsi="Times New Roman" w:cs="Times New Roman"/>
                <w:color w:val="000000"/>
                <w:sz w:val="20"/>
              </w:rPr>
            </w:pPr>
            <w:r w:rsidRPr="002E104C">
              <w:rPr>
                <w:rFonts w:ascii="Times New Roman" w:eastAsia="Times New Roman" w:hAnsi="Times New Roman" w:cs="Times New Roman"/>
                <w:color w:val="000000"/>
                <w:sz w:val="20"/>
              </w:rPr>
              <w:t>1.3</w:t>
            </w:r>
            <w:r w:rsidRPr="002E104C">
              <w:rPr>
                <w:rFonts w:ascii="Times New Roman" w:eastAsia="Times New Roman" w:hAnsi="Times New Roman" w:cs="Times New Roman"/>
                <w:color w:val="000000"/>
                <w:sz w:val="20"/>
              </w:rPr>
              <w:tab/>
              <w:t>0.093</w:t>
            </w:r>
            <w:r w:rsidRPr="002E104C">
              <w:rPr>
                <w:rFonts w:ascii="Times New Roman" w:eastAsia="Times New Roman" w:hAnsi="Times New Roman" w:cs="Times New Roman"/>
                <w:color w:val="000000"/>
                <w:sz w:val="20"/>
              </w:rPr>
              <w:tab/>
              <w:t>30</w:t>
            </w:r>
            <w:r>
              <w:rPr>
                <w:rFonts w:ascii="Times New Roman" w:eastAsia="Times New Roman" w:hAnsi="Times New Roman" w:cs="Times New Roman"/>
                <w:color w:val="000000"/>
                <w:sz w:val="20"/>
              </w:rPr>
              <w:t xml:space="preserve"> </w:t>
            </w:r>
            <w:r w:rsidRPr="002E104C">
              <w:rPr>
                <w:rFonts w:ascii="Times New Roman" w:eastAsia="Times New Roman" w:hAnsi="Times New Roman" w:cs="Times New Roman"/>
                <w:color w:val="000000"/>
                <w:sz w:val="20"/>
              </w:rPr>
              <w:t>NO</w:t>
            </w:r>
            <w:r>
              <w:rPr>
                <w:rFonts w:ascii="Times New Roman" w:eastAsia="Times New Roman" w:hAnsi="Times New Roman" w:cs="Times New Roman"/>
                <w:color w:val="000000"/>
                <w:sz w:val="20"/>
              </w:rPr>
              <w:t xml:space="preserve"> </w:t>
            </w:r>
            <w:r w:rsidRPr="002E104C">
              <w:rPr>
                <w:rFonts w:ascii="Times New Roman" w:eastAsia="Times New Roman" w:hAnsi="Times New Roman" w:cs="Times New Roman"/>
                <w:color w:val="000000"/>
                <w:sz w:val="20"/>
              </w:rPr>
              <w:t>Corrosion of household plumbing system', Erosion of natural deposits;</w:t>
            </w:r>
          </w:p>
          <w:p w14:paraId="15AD1811" w14:textId="3EA503CB" w:rsidR="002E104C" w:rsidRPr="002E104C" w:rsidRDefault="002E104C" w:rsidP="002E104C">
            <w:pPr>
              <w:spacing w:after="0" w:line="259" w:lineRule="auto"/>
              <w:ind w:left="820" w:hanging="439"/>
              <w:jc w:val="center"/>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rPr>
              <w:t xml:space="preserve"> Leaching fro</w:t>
            </w:r>
            <w:r>
              <w:rPr>
                <w:rFonts w:ascii="Times New Roman" w:eastAsia="Times New Roman" w:hAnsi="Times New Roman" w:cs="Times New Roman"/>
                <w:color w:val="000000"/>
                <w:sz w:val="20"/>
              </w:rPr>
              <w:t xml:space="preserve">m </w:t>
            </w:r>
            <w:r w:rsidRPr="002E104C">
              <w:rPr>
                <w:rFonts w:ascii="Times New Roman" w:eastAsia="Times New Roman" w:hAnsi="Times New Roman" w:cs="Times New Roman"/>
                <w:color w:val="000000"/>
                <w:sz w:val="20"/>
              </w:rPr>
              <w:t>wood preservatives.</w:t>
            </w:r>
          </w:p>
        </w:tc>
      </w:tr>
      <w:tr w:rsidR="002E104C" w:rsidRPr="002E104C" w14:paraId="7487D629" w14:textId="77777777" w:rsidTr="00BE319A">
        <w:trPr>
          <w:trHeight w:val="1279"/>
        </w:trPr>
        <w:tc>
          <w:tcPr>
            <w:tcW w:w="1731" w:type="dxa"/>
            <w:tcBorders>
              <w:top w:val="nil"/>
              <w:left w:val="nil"/>
              <w:bottom w:val="nil"/>
              <w:right w:val="nil"/>
            </w:tcBorders>
          </w:tcPr>
          <w:p w14:paraId="6E7AE75E" w14:textId="77777777" w:rsidR="002E104C" w:rsidRPr="002E104C" w:rsidRDefault="002E104C" w:rsidP="002E104C">
            <w:pPr>
              <w:spacing w:after="0" w:line="259" w:lineRule="auto"/>
              <w:rPr>
                <w:rFonts w:ascii="Times New Roman" w:eastAsia="Times New Roman" w:hAnsi="Times New Roman" w:cs="Times New Roman"/>
                <w:color w:val="000000"/>
              </w:rPr>
            </w:pPr>
            <w:r w:rsidRPr="002E104C">
              <w:rPr>
                <w:rFonts w:ascii="Times New Roman" w:eastAsia="Times New Roman" w:hAnsi="Times New Roman" w:cs="Times New Roman"/>
                <w:color w:val="000000"/>
                <w:u w:val="single" w:color="000000"/>
              </w:rPr>
              <w:t>Lead</w:t>
            </w:r>
          </w:p>
        </w:tc>
        <w:tc>
          <w:tcPr>
            <w:tcW w:w="510" w:type="dxa"/>
            <w:tcBorders>
              <w:top w:val="nil"/>
              <w:left w:val="nil"/>
              <w:bottom w:val="nil"/>
              <w:right w:val="nil"/>
            </w:tcBorders>
          </w:tcPr>
          <w:p w14:paraId="7C0AECD1" w14:textId="77777777" w:rsidR="002E104C" w:rsidRPr="002E104C" w:rsidRDefault="002E104C" w:rsidP="002E104C">
            <w:pPr>
              <w:spacing w:after="0" w:line="259" w:lineRule="auto"/>
              <w:jc w:val="both"/>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rPr>
              <w:t>mg/L</w:t>
            </w:r>
          </w:p>
        </w:tc>
        <w:tc>
          <w:tcPr>
            <w:tcW w:w="8138" w:type="dxa"/>
            <w:tcBorders>
              <w:top w:val="nil"/>
              <w:left w:val="nil"/>
              <w:bottom w:val="nil"/>
              <w:right w:val="nil"/>
            </w:tcBorders>
          </w:tcPr>
          <w:p w14:paraId="4A2C0EE1" w14:textId="387F815C" w:rsidR="002E104C" w:rsidRPr="002E104C" w:rsidRDefault="002E104C" w:rsidP="002E104C">
            <w:pPr>
              <w:spacing w:after="285" w:line="275" w:lineRule="auto"/>
              <w:ind w:left="5294" w:hanging="5050"/>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rPr>
              <w:t>0.015</w:t>
            </w:r>
            <w:r w:rsidRPr="002E104C">
              <w:rPr>
                <w:rFonts w:ascii="Times New Roman" w:eastAsia="Times New Roman" w:hAnsi="Times New Roman" w:cs="Times New Roman"/>
                <w:color w:val="000000"/>
                <w:sz w:val="20"/>
              </w:rPr>
              <w:tab/>
              <w:t>0.0</w:t>
            </w:r>
            <w:r w:rsidRPr="002E104C">
              <w:rPr>
                <w:rFonts w:ascii="Times New Roman" w:eastAsia="Times New Roman" w:hAnsi="Times New Roman" w:cs="Times New Roman"/>
                <w:color w:val="000000"/>
                <w:sz w:val="20"/>
              </w:rPr>
              <w:tab/>
              <w:t>0.00059</w:t>
            </w:r>
            <w:r w:rsidRPr="002E104C">
              <w:rPr>
                <w:rFonts w:ascii="Times New Roman" w:eastAsia="Times New Roman" w:hAnsi="Times New Roman" w:cs="Times New Roman"/>
                <w:color w:val="000000"/>
                <w:sz w:val="20"/>
              </w:rPr>
              <w:tab/>
              <w:t>30</w:t>
            </w:r>
            <w:r w:rsidRPr="002E104C">
              <w:rPr>
                <w:rFonts w:ascii="Times New Roman" w:eastAsia="Times New Roman" w:hAnsi="Times New Roman" w:cs="Times New Roman"/>
                <w:color w:val="000000"/>
                <w:sz w:val="20"/>
              </w:rPr>
              <w:tab/>
              <w:t>NO</w:t>
            </w:r>
            <w:r w:rsidRPr="002E104C">
              <w:rPr>
                <w:rFonts w:ascii="Times New Roman" w:eastAsia="Times New Roman" w:hAnsi="Times New Roman" w:cs="Times New Roman"/>
                <w:color w:val="000000"/>
                <w:sz w:val="20"/>
              </w:rPr>
              <w:tab/>
              <w:t>Corrosion of household plu</w:t>
            </w:r>
            <w:r>
              <w:rPr>
                <w:rFonts w:ascii="Times New Roman" w:eastAsia="Times New Roman" w:hAnsi="Times New Roman" w:cs="Times New Roman"/>
                <w:color w:val="000000"/>
                <w:sz w:val="20"/>
              </w:rPr>
              <w:t>m</w:t>
            </w:r>
            <w:r w:rsidRPr="002E104C">
              <w:rPr>
                <w:rFonts w:ascii="Times New Roman" w:eastAsia="Times New Roman" w:hAnsi="Times New Roman" w:cs="Times New Roman"/>
                <w:color w:val="000000"/>
                <w:sz w:val="20"/>
              </w:rPr>
              <w:t>bing system.</w:t>
            </w:r>
          </w:p>
          <w:p w14:paraId="17439872" w14:textId="77777777" w:rsidR="002E104C" w:rsidRPr="002E104C" w:rsidRDefault="002E104C" w:rsidP="002E104C">
            <w:pPr>
              <w:spacing w:after="0" w:line="259" w:lineRule="auto"/>
              <w:rPr>
                <w:rFonts w:ascii="Times New Roman" w:eastAsia="Times New Roman" w:hAnsi="Times New Roman" w:cs="Times New Roman"/>
                <w:color w:val="000000"/>
              </w:rPr>
            </w:pPr>
            <w:r w:rsidRPr="002E104C">
              <w:rPr>
                <w:rFonts w:ascii="Times New Roman" w:eastAsia="Times New Roman" w:hAnsi="Times New Roman" w:cs="Times New Roman"/>
                <w:color w:val="000000"/>
                <w:sz w:val="26"/>
              </w:rPr>
              <w:t>UNREGULATED VOLATILE ORGANIC SUBSTANCES</w:t>
            </w:r>
          </w:p>
          <w:p w14:paraId="173C0490" w14:textId="44248818" w:rsidR="002E104C" w:rsidRPr="002E104C" w:rsidRDefault="002E104C" w:rsidP="002E104C">
            <w:pPr>
              <w:spacing w:after="0" w:line="259" w:lineRule="auto"/>
              <w:ind w:left="2715"/>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u w:val="single" w:color="000000"/>
              </w:rPr>
              <w:t>A</w:t>
            </w:r>
            <w:r w:rsidR="000C59E0">
              <w:rPr>
                <w:rFonts w:ascii="Times New Roman" w:eastAsia="Times New Roman" w:hAnsi="Times New Roman" w:cs="Times New Roman"/>
                <w:color w:val="000000"/>
                <w:sz w:val="20"/>
                <w:u w:val="single" w:color="000000"/>
              </w:rPr>
              <w:t>m</w:t>
            </w:r>
            <w:r w:rsidRPr="002E104C">
              <w:rPr>
                <w:rFonts w:ascii="Times New Roman" w:eastAsia="Times New Roman" w:hAnsi="Times New Roman" w:cs="Times New Roman"/>
                <w:color w:val="000000"/>
                <w:sz w:val="20"/>
                <w:u w:val="single" w:color="000000"/>
              </w:rPr>
              <w:t>ount</w:t>
            </w:r>
            <w:r w:rsidRPr="002E104C">
              <w:rPr>
                <w:rFonts w:ascii="Times New Roman" w:eastAsia="Times New Roman" w:hAnsi="Times New Roman" w:cs="Times New Roman"/>
                <w:color w:val="000000"/>
                <w:sz w:val="20"/>
              </w:rPr>
              <w:t xml:space="preserve"> </w:t>
            </w:r>
            <w:r w:rsidRPr="002E104C">
              <w:rPr>
                <w:rFonts w:ascii="Times New Roman" w:eastAsia="Times New Roman" w:hAnsi="Times New Roman" w:cs="Times New Roman"/>
                <w:color w:val="000000"/>
                <w:sz w:val="20"/>
                <w:u w:val="single" w:color="000000"/>
              </w:rPr>
              <w:t>Violations</w:t>
            </w:r>
          </w:p>
        </w:tc>
      </w:tr>
    </w:tbl>
    <w:tbl>
      <w:tblPr>
        <w:tblStyle w:val="TableGrid"/>
        <w:tblpPr w:vertAnchor="text" w:horzAnchor="margin" w:tblpX="72"/>
        <w:tblOverlap w:val="never"/>
        <w:tblW w:w="10487" w:type="dxa"/>
        <w:tblInd w:w="0" w:type="dxa"/>
        <w:tblLook w:val="04A0" w:firstRow="1" w:lastRow="0" w:firstColumn="1" w:lastColumn="0" w:noHBand="0" w:noVBand="1"/>
      </w:tblPr>
      <w:tblGrid>
        <w:gridCol w:w="2270"/>
        <w:gridCol w:w="848"/>
        <w:gridCol w:w="7369"/>
      </w:tblGrid>
      <w:tr w:rsidR="002E104C" w:rsidRPr="002E104C" w14:paraId="27A7DA48" w14:textId="77777777" w:rsidTr="00BE319A">
        <w:trPr>
          <w:trHeight w:val="224"/>
        </w:trPr>
        <w:tc>
          <w:tcPr>
            <w:tcW w:w="2270" w:type="dxa"/>
            <w:tcBorders>
              <w:top w:val="nil"/>
              <w:left w:val="nil"/>
              <w:bottom w:val="nil"/>
              <w:right w:val="nil"/>
            </w:tcBorders>
          </w:tcPr>
          <w:p w14:paraId="1A2FD889" w14:textId="77777777" w:rsidR="002E104C" w:rsidRPr="002E104C" w:rsidRDefault="002E104C" w:rsidP="002E104C">
            <w:pPr>
              <w:spacing w:after="160" w:line="259" w:lineRule="auto"/>
              <w:rPr>
                <w:rFonts w:ascii="Times New Roman" w:eastAsia="Times New Roman" w:hAnsi="Times New Roman" w:cs="Times New Roman"/>
                <w:color w:val="000000"/>
              </w:rPr>
            </w:pPr>
          </w:p>
        </w:tc>
        <w:tc>
          <w:tcPr>
            <w:tcW w:w="848" w:type="dxa"/>
            <w:tcBorders>
              <w:top w:val="nil"/>
              <w:left w:val="nil"/>
              <w:bottom w:val="nil"/>
              <w:right w:val="nil"/>
            </w:tcBorders>
          </w:tcPr>
          <w:p w14:paraId="3892BA24" w14:textId="77777777" w:rsidR="002E104C" w:rsidRPr="002E104C" w:rsidRDefault="002E104C" w:rsidP="002E104C">
            <w:pPr>
              <w:spacing w:after="0" w:line="259" w:lineRule="auto"/>
              <w:ind w:left="86"/>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u w:val="single" w:color="000000"/>
              </w:rPr>
              <w:t>Units</w:t>
            </w:r>
          </w:p>
        </w:tc>
        <w:tc>
          <w:tcPr>
            <w:tcW w:w="7370" w:type="dxa"/>
            <w:tcBorders>
              <w:top w:val="nil"/>
              <w:left w:val="nil"/>
              <w:bottom w:val="nil"/>
              <w:right w:val="nil"/>
            </w:tcBorders>
          </w:tcPr>
          <w:p w14:paraId="6FFBBDA8" w14:textId="77777777" w:rsidR="002E104C" w:rsidRPr="002E104C" w:rsidRDefault="002E104C" w:rsidP="002E104C">
            <w:pPr>
              <w:tabs>
                <w:tab w:val="center" w:pos="1174"/>
                <w:tab w:val="center" w:pos="2780"/>
                <w:tab w:val="center" w:pos="5707"/>
              </w:tabs>
              <w:spacing w:after="0" w:line="259" w:lineRule="auto"/>
              <w:ind w:left="-7"/>
              <w:rPr>
                <w:rFonts w:ascii="Times New Roman" w:eastAsia="Times New Roman" w:hAnsi="Times New Roman" w:cs="Times New Roman"/>
                <w:color w:val="000000"/>
              </w:rPr>
            </w:pPr>
            <w:r w:rsidRPr="002E104C">
              <w:rPr>
                <w:rFonts w:ascii="Times New Roman" w:eastAsia="Times New Roman" w:hAnsi="Times New Roman" w:cs="Times New Roman"/>
                <w:noProof/>
                <w:color w:val="000000"/>
              </w:rPr>
              <w:drawing>
                <wp:inline distT="0" distB="0" distL="0" distR="0" wp14:anchorId="0117A8BC" wp14:editId="03B0ED52">
                  <wp:extent cx="296482" cy="9123"/>
                  <wp:effectExtent l="0" t="0" r="0" b="0"/>
                  <wp:docPr id="6901" name="Picture 6901"/>
                  <wp:cNvGraphicFramePr/>
                  <a:graphic xmlns:a="http://schemas.openxmlformats.org/drawingml/2006/main">
                    <a:graphicData uri="http://schemas.openxmlformats.org/drawingml/2006/picture">
                      <pic:pic xmlns:pic="http://schemas.openxmlformats.org/drawingml/2006/picture">
                        <pic:nvPicPr>
                          <pic:cNvPr id="6901" name="Picture 6901"/>
                          <pic:cNvPicPr/>
                        </pic:nvPicPr>
                        <pic:blipFill>
                          <a:blip r:embed="rId6"/>
                          <a:stretch>
                            <a:fillRect/>
                          </a:stretch>
                        </pic:blipFill>
                        <pic:spPr>
                          <a:xfrm>
                            <a:off x="0" y="0"/>
                            <a:ext cx="296482" cy="9123"/>
                          </a:xfrm>
                          <a:prstGeom prst="rect">
                            <a:avLst/>
                          </a:prstGeom>
                        </pic:spPr>
                      </pic:pic>
                    </a:graphicData>
                  </a:graphic>
                </wp:inline>
              </w:drawing>
            </w:r>
            <w:r w:rsidRPr="002E104C">
              <w:rPr>
                <w:rFonts w:ascii="Times New Roman" w:eastAsia="Times New Roman" w:hAnsi="Times New Roman" w:cs="Times New Roman"/>
                <w:color w:val="000000"/>
              </w:rPr>
              <w:t>MCL</w:t>
            </w:r>
            <w:r w:rsidRPr="002E104C">
              <w:rPr>
                <w:rFonts w:ascii="Times New Roman" w:eastAsia="Times New Roman" w:hAnsi="Times New Roman" w:cs="Times New Roman"/>
                <w:color w:val="000000"/>
              </w:rPr>
              <w:tab/>
            </w:r>
            <w:r w:rsidRPr="002E104C">
              <w:rPr>
                <w:rFonts w:ascii="Times New Roman" w:eastAsia="Times New Roman" w:hAnsi="Times New Roman" w:cs="Times New Roman"/>
                <w:color w:val="000000"/>
                <w:u w:val="single" w:color="000000"/>
              </w:rPr>
              <w:t>MCLG</w:t>
            </w:r>
            <w:r w:rsidRPr="002E104C">
              <w:rPr>
                <w:rFonts w:ascii="Times New Roman" w:eastAsia="Times New Roman" w:hAnsi="Times New Roman" w:cs="Times New Roman"/>
                <w:color w:val="000000"/>
                <w:u w:val="single" w:color="000000"/>
              </w:rPr>
              <w:tab/>
              <w:t>Detected</w:t>
            </w:r>
            <w:r w:rsidRPr="002E104C">
              <w:rPr>
                <w:rFonts w:ascii="Times New Roman" w:eastAsia="Times New Roman" w:hAnsi="Times New Roman" w:cs="Times New Roman"/>
                <w:color w:val="000000"/>
              </w:rPr>
              <w:t xml:space="preserve"> </w:t>
            </w:r>
            <w:r w:rsidRPr="002E104C">
              <w:rPr>
                <w:rFonts w:ascii="Times New Roman" w:eastAsia="Times New Roman" w:hAnsi="Times New Roman" w:cs="Times New Roman"/>
                <w:color w:val="000000"/>
                <w:u w:val="single" w:color="000000"/>
              </w:rPr>
              <w:t>(YES/NO)</w:t>
            </w:r>
            <w:r w:rsidRPr="002E104C">
              <w:rPr>
                <w:rFonts w:ascii="Times New Roman" w:eastAsia="Times New Roman" w:hAnsi="Times New Roman" w:cs="Times New Roman"/>
                <w:color w:val="000000"/>
                <w:u w:val="single" w:color="000000"/>
              </w:rPr>
              <w:tab/>
              <w:t>Source Of Substance</w:t>
            </w:r>
          </w:p>
        </w:tc>
      </w:tr>
      <w:tr w:rsidR="002E104C" w:rsidRPr="002E104C" w14:paraId="764617CF" w14:textId="77777777" w:rsidTr="00BE319A">
        <w:trPr>
          <w:trHeight w:val="294"/>
        </w:trPr>
        <w:tc>
          <w:tcPr>
            <w:tcW w:w="2270" w:type="dxa"/>
            <w:tcBorders>
              <w:top w:val="nil"/>
              <w:left w:val="nil"/>
              <w:bottom w:val="nil"/>
              <w:right w:val="nil"/>
            </w:tcBorders>
          </w:tcPr>
          <w:p w14:paraId="6D6DC68F" w14:textId="77777777" w:rsidR="002E104C" w:rsidRPr="002E104C" w:rsidRDefault="002E104C" w:rsidP="002E104C">
            <w:pPr>
              <w:spacing w:after="0" w:line="259" w:lineRule="auto"/>
              <w:ind w:left="7"/>
              <w:rPr>
                <w:rFonts w:ascii="Times New Roman" w:eastAsia="Times New Roman" w:hAnsi="Times New Roman" w:cs="Times New Roman"/>
                <w:color w:val="000000"/>
              </w:rPr>
            </w:pPr>
            <w:proofErr w:type="spellStart"/>
            <w:r w:rsidRPr="002E104C">
              <w:rPr>
                <w:rFonts w:ascii="Times New Roman" w:eastAsia="Times New Roman" w:hAnsi="Times New Roman" w:cs="Times New Roman"/>
                <w:color w:val="000000"/>
                <w:sz w:val="20"/>
                <w:u w:val="single" w:color="000000"/>
              </w:rPr>
              <w:t>Brornodichloronuethane</w:t>
            </w:r>
            <w:proofErr w:type="spellEnd"/>
          </w:p>
        </w:tc>
        <w:tc>
          <w:tcPr>
            <w:tcW w:w="848" w:type="dxa"/>
            <w:tcBorders>
              <w:top w:val="nil"/>
              <w:left w:val="nil"/>
              <w:bottom w:val="nil"/>
              <w:right w:val="nil"/>
            </w:tcBorders>
          </w:tcPr>
          <w:p w14:paraId="276743F4" w14:textId="77777777" w:rsidR="002E104C" w:rsidRPr="002E104C" w:rsidRDefault="002E104C" w:rsidP="002E104C">
            <w:pPr>
              <w:spacing w:after="0" w:line="259" w:lineRule="auto"/>
              <w:ind w:left="158"/>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rPr>
              <w:t>ppb</w:t>
            </w:r>
          </w:p>
        </w:tc>
        <w:tc>
          <w:tcPr>
            <w:tcW w:w="7370" w:type="dxa"/>
            <w:tcBorders>
              <w:top w:val="nil"/>
              <w:left w:val="nil"/>
              <w:bottom w:val="nil"/>
              <w:right w:val="nil"/>
            </w:tcBorders>
          </w:tcPr>
          <w:p w14:paraId="3FA69F9D" w14:textId="77777777" w:rsidR="002E104C" w:rsidRPr="002E104C" w:rsidRDefault="002E104C" w:rsidP="002E104C">
            <w:pPr>
              <w:tabs>
                <w:tab w:val="center" w:pos="291"/>
                <w:tab w:val="center" w:pos="1167"/>
                <w:tab w:val="center" w:pos="2198"/>
                <w:tab w:val="center" w:pos="3272"/>
                <w:tab w:val="right" w:pos="7370"/>
              </w:tabs>
              <w:spacing w:after="0" w:line="259" w:lineRule="auto"/>
              <w:rPr>
                <w:rFonts w:ascii="Times New Roman" w:eastAsia="Times New Roman" w:hAnsi="Times New Roman" w:cs="Times New Roman"/>
                <w:color w:val="000000"/>
              </w:rPr>
            </w:pPr>
            <w:r w:rsidRPr="002E104C">
              <w:rPr>
                <w:rFonts w:ascii="Times New Roman" w:eastAsia="Times New Roman" w:hAnsi="Times New Roman" w:cs="Times New Roman"/>
                <w:noProof/>
                <w:color w:val="000000"/>
              </w:rPr>
              <w:drawing>
                <wp:inline distT="0" distB="0" distL="0" distR="0" wp14:anchorId="358D1F09" wp14:editId="01EC5CBF">
                  <wp:extent cx="82103" cy="95794"/>
                  <wp:effectExtent l="0" t="0" r="0" b="0"/>
                  <wp:docPr id="2125" name="Picture 2125"/>
                  <wp:cNvGraphicFramePr/>
                  <a:graphic xmlns:a="http://schemas.openxmlformats.org/drawingml/2006/main">
                    <a:graphicData uri="http://schemas.openxmlformats.org/drawingml/2006/picture">
                      <pic:pic xmlns:pic="http://schemas.openxmlformats.org/drawingml/2006/picture">
                        <pic:nvPicPr>
                          <pic:cNvPr id="2125" name="Picture 2125"/>
                          <pic:cNvPicPr/>
                        </pic:nvPicPr>
                        <pic:blipFill>
                          <a:blip r:embed="rId7"/>
                          <a:stretch>
                            <a:fillRect/>
                          </a:stretch>
                        </pic:blipFill>
                        <pic:spPr>
                          <a:xfrm>
                            <a:off x="0" y="0"/>
                            <a:ext cx="82103" cy="95794"/>
                          </a:xfrm>
                          <a:prstGeom prst="rect">
                            <a:avLst/>
                          </a:prstGeom>
                        </pic:spPr>
                      </pic:pic>
                    </a:graphicData>
                  </a:graphic>
                </wp:inline>
              </w:drawing>
            </w:r>
            <w:r w:rsidRPr="002E104C">
              <w:rPr>
                <w:rFonts w:ascii="Times New Roman" w:eastAsia="Times New Roman" w:hAnsi="Times New Roman" w:cs="Times New Roman"/>
                <w:color w:val="000000"/>
                <w:sz w:val="20"/>
              </w:rPr>
              <w:tab/>
            </w:r>
            <w:r w:rsidRPr="002E104C">
              <w:rPr>
                <w:rFonts w:ascii="Times New Roman" w:eastAsia="Times New Roman" w:hAnsi="Times New Roman" w:cs="Times New Roman"/>
                <w:noProof/>
                <w:color w:val="000000"/>
              </w:rPr>
              <w:drawing>
                <wp:inline distT="0" distB="0" distL="0" distR="0" wp14:anchorId="63AEAFA6" wp14:editId="3F957036">
                  <wp:extent cx="123154" cy="100356"/>
                  <wp:effectExtent l="0" t="0" r="0" b="0"/>
                  <wp:docPr id="2124" name="Picture 2124"/>
                  <wp:cNvGraphicFramePr/>
                  <a:graphic xmlns:a="http://schemas.openxmlformats.org/drawingml/2006/main">
                    <a:graphicData uri="http://schemas.openxmlformats.org/drawingml/2006/picture">
                      <pic:pic xmlns:pic="http://schemas.openxmlformats.org/drawingml/2006/picture">
                        <pic:nvPicPr>
                          <pic:cNvPr id="2124" name="Picture 2124"/>
                          <pic:cNvPicPr/>
                        </pic:nvPicPr>
                        <pic:blipFill>
                          <a:blip r:embed="rId8"/>
                          <a:stretch>
                            <a:fillRect/>
                          </a:stretch>
                        </pic:blipFill>
                        <pic:spPr>
                          <a:xfrm>
                            <a:off x="0" y="0"/>
                            <a:ext cx="123154" cy="100356"/>
                          </a:xfrm>
                          <a:prstGeom prst="rect">
                            <a:avLst/>
                          </a:prstGeom>
                        </pic:spPr>
                      </pic:pic>
                    </a:graphicData>
                  </a:graphic>
                </wp:inline>
              </w:drawing>
            </w:r>
            <w:r w:rsidRPr="002E104C">
              <w:rPr>
                <w:rFonts w:ascii="Times New Roman" w:eastAsia="Times New Roman" w:hAnsi="Times New Roman" w:cs="Times New Roman"/>
                <w:color w:val="000000"/>
                <w:sz w:val="20"/>
              </w:rPr>
              <w:tab/>
              <w:t>N/A</w:t>
            </w:r>
            <w:r w:rsidRPr="002E104C">
              <w:rPr>
                <w:rFonts w:ascii="Times New Roman" w:eastAsia="Times New Roman" w:hAnsi="Times New Roman" w:cs="Times New Roman"/>
                <w:color w:val="000000"/>
                <w:sz w:val="20"/>
              </w:rPr>
              <w:tab/>
              <w:t>5.1</w:t>
            </w:r>
            <w:r w:rsidRPr="002E104C">
              <w:rPr>
                <w:rFonts w:ascii="Times New Roman" w:eastAsia="Times New Roman" w:hAnsi="Times New Roman" w:cs="Times New Roman"/>
                <w:color w:val="000000"/>
                <w:sz w:val="20"/>
              </w:rPr>
              <w:tab/>
              <w:t>NO</w:t>
            </w:r>
            <w:r w:rsidRPr="002E104C">
              <w:rPr>
                <w:rFonts w:ascii="Times New Roman" w:eastAsia="Times New Roman" w:hAnsi="Times New Roman" w:cs="Times New Roman"/>
                <w:color w:val="000000"/>
                <w:sz w:val="20"/>
              </w:rPr>
              <w:tab/>
              <w:t>By-product of drinking water chlorination.</w:t>
            </w:r>
          </w:p>
        </w:tc>
      </w:tr>
      <w:tr w:rsidR="002E104C" w:rsidRPr="002E104C" w14:paraId="17288FEE" w14:textId="77777777" w:rsidTr="00BE319A">
        <w:trPr>
          <w:trHeight w:val="289"/>
        </w:trPr>
        <w:tc>
          <w:tcPr>
            <w:tcW w:w="2270" w:type="dxa"/>
            <w:tcBorders>
              <w:top w:val="nil"/>
              <w:left w:val="nil"/>
              <w:bottom w:val="nil"/>
              <w:right w:val="nil"/>
            </w:tcBorders>
          </w:tcPr>
          <w:p w14:paraId="7A0C4EDD" w14:textId="77777777" w:rsidR="002E104C" w:rsidRPr="002E104C" w:rsidRDefault="002E104C" w:rsidP="002E104C">
            <w:pPr>
              <w:spacing w:after="0" w:line="259" w:lineRule="auto"/>
              <w:ind w:left="7"/>
              <w:rPr>
                <w:rFonts w:ascii="Times New Roman" w:eastAsia="Times New Roman" w:hAnsi="Times New Roman" w:cs="Times New Roman"/>
                <w:color w:val="000000"/>
              </w:rPr>
            </w:pPr>
            <w:proofErr w:type="spellStart"/>
            <w:r w:rsidRPr="002E104C">
              <w:rPr>
                <w:rFonts w:ascii="Times New Roman" w:eastAsia="Times New Roman" w:hAnsi="Times New Roman" w:cs="Times New Roman"/>
                <w:color w:val="000000"/>
                <w:u w:val="single" w:color="000000"/>
              </w:rPr>
              <w:t>Chlorofornl</w:t>
            </w:r>
            <w:proofErr w:type="spellEnd"/>
          </w:p>
        </w:tc>
        <w:tc>
          <w:tcPr>
            <w:tcW w:w="848" w:type="dxa"/>
            <w:tcBorders>
              <w:top w:val="nil"/>
              <w:left w:val="nil"/>
              <w:bottom w:val="nil"/>
              <w:right w:val="nil"/>
            </w:tcBorders>
          </w:tcPr>
          <w:p w14:paraId="453A7F6D" w14:textId="77777777" w:rsidR="002E104C" w:rsidRPr="002E104C" w:rsidRDefault="002E104C" w:rsidP="002E104C">
            <w:pPr>
              <w:spacing w:after="0" w:line="259" w:lineRule="auto"/>
              <w:ind w:left="158"/>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rPr>
              <w:t>ppb</w:t>
            </w:r>
          </w:p>
        </w:tc>
        <w:tc>
          <w:tcPr>
            <w:tcW w:w="7370" w:type="dxa"/>
            <w:tcBorders>
              <w:top w:val="nil"/>
              <w:left w:val="nil"/>
              <w:bottom w:val="nil"/>
              <w:right w:val="nil"/>
            </w:tcBorders>
          </w:tcPr>
          <w:p w14:paraId="70375E46" w14:textId="77777777" w:rsidR="002E104C" w:rsidRPr="002E104C" w:rsidRDefault="002E104C" w:rsidP="002E104C">
            <w:pPr>
              <w:tabs>
                <w:tab w:val="center" w:pos="1167"/>
                <w:tab w:val="center" w:pos="2198"/>
                <w:tab w:val="center" w:pos="3272"/>
                <w:tab w:val="right" w:pos="7370"/>
              </w:tabs>
              <w:spacing w:after="0" w:line="259" w:lineRule="auto"/>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rPr>
              <w:t>N/A</w:t>
            </w:r>
            <w:r w:rsidRPr="002E104C">
              <w:rPr>
                <w:rFonts w:ascii="Times New Roman" w:eastAsia="Times New Roman" w:hAnsi="Times New Roman" w:cs="Times New Roman"/>
                <w:color w:val="000000"/>
                <w:sz w:val="20"/>
              </w:rPr>
              <w:tab/>
              <w:t>N/A</w:t>
            </w:r>
            <w:r w:rsidRPr="002E104C">
              <w:rPr>
                <w:rFonts w:ascii="Times New Roman" w:eastAsia="Times New Roman" w:hAnsi="Times New Roman" w:cs="Times New Roman"/>
                <w:color w:val="000000"/>
                <w:sz w:val="20"/>
              </w:rPr>
              <w:tab/>
              <w:t>34</w:t>
            </w:r>
            <w:r w:rsidRPr="002E104C">
              <w:rPr>
                <w:rFonts w:ascii="Times New Roman" w:eastAsia="Times New Roman" w:hAnsi="Times New Roman" w:cs="Times New Roman"/>
                <w:color w:val="000000"/>
                <w:sz w:val="20"/>
              </w:rPr>
              <w:tab/>
              <w:t>NO</w:t>
            </w:r>
            <w:r w:rsidRPr="002E104C">
              <w:rPr>
                <w:rFonts w:ascii="Times New Roman" w:eastAsia="Times New Roman" w:hAnsi="Times New Roman" w:cs="Times New Roman"/>
                <w:color w:val="000000"/>
                <w:sz w:val="20"/>
              </w:rPr>
              <w:tab/>
              <w:t>By-product of drinking water chlorination.</w:t>
            </w:r>
          </w:p>
        </w:tc>
      </w:tr>
      <w:tr w:rsidR="002E104C" w:rsidRPr="002E104C" w14:paraId="0ADDA457" w14:textId="77777777" w:rsidTr="00BE319A">
        <w:trPr>
          <w:trHeight w:val="1111"/>
        </w:trPr>
        <w:tc>
          <w:tcPr>
            <w:tcW w:w="2270" w:type="dxa"/>
            <w:tcBorders>
              <w:top w:val="nil"/>
              <w:left w:val="nil"/>
              <w:bottom w:val="nil"/>
              <w:right w:val="nil"/>
            </w:tcBorders>
          </w:tcPr>
          <w:p w14:paraId="0A26518A" w14:textId="77777777" w:rsidR="002E104C" w:rsidRPr="002E104C" w:rsidRDefault="002E104C" w:rsidP="002E104C">
            <w:pPr>
              <w:spacing w:after="0" w:line="259" w:lineRule="auto"/>
              <w:rPr>
                <w:rFonts w:ascii="Times New Roman" w:eastAsia="Times New Roman" w:hAnsi="Times New Roman" w:cs="Times New Roman"/>
                <w:color w:val="000000"/>
              </w:rPr>
            </w:pPr>
            <w:proofErr w:type="spellStart"/>
            <w:r w:rsidRPr="002E104C">
              <w:rPr>
                <w:rFonts w:ascii="Times New Roman" w:eastAsia="Times New Roman" w:hAnsi="Times New Roman" w:cs="Times New Roman"/>
                <w:color w:val="000000"/>
                <w:u w:val="single" w:color="000000"/>
              </w:rPr>
              <w:t>Chlorodibrmnornethane</w:t>
            </w:r>
            <w:proofErr w:type="spellEnd"/>
          </w:p>
        </w:tc>
        <w:tc>
          <w:tcPr>
            <w:tcW w:w="848" w:type="dxa"/>
            <w:tcBorders>
              <w:top w:val="nil"/>
              <w:left w:val="nil"/>
              <w:bottom w:val="nil"/>
              <w:right w:val="nil"/>
            </w:tcBorders>
          </w:tcPr>
          <w:p w14:paraId="7B12D7D2" w14:textId="77777777" w:rsidR="002E104C" w:rsidRPr="002E104C" w:rsidRDefault="002E104C" w:rsidP="002E104C">
            <w:pPr>
              <w:spacing w:after="0" w:line="259" w:lineRule="auto"/>
              <w:ind w:left="158"/>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rPr>
              <w:t>ppb</w:t>
            </w:r>
          </w:p>
        </w:tc>
        <w:tc>
          <w:tcPr>
            <w:tcW w:w="7370" w:type="dxa"/>
            <w:tcBorders>
              <w:top w:val="nil"/>
              <w:left w:val="nil"/>
              <w:bottom w:val="nil"/>
              <w:right w:val="nil"/>
            </w:tcBorders>
          </w:tcPr>
          <w:p w14:paraId="1CEE9870" w14:textId="77777777" w:rsidR="002E104C" w:rsidRPr="002E104C" w:rsidRDefault="002E104C" w:rsidP="002E104C">
            <w:pPr>
              <w:tabs>
                <w:tab w:val="center" w:pos="1160"/>
                <w:tab w:val="center" w:pos="2194"/>
                <w:tab w:val="center" w:pos="3265"/>
                <w:tab w:val="right" w:pos="7370"/>
              </w:tabs>
              <w:spacing w:after="327" w:line="259" w:lineRule="auto"/>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rPr>
              <w:t>N/A</w:t>
            </w:r>
            <w:r w:rsidRPr="002E104C">
              <w:rPr>
                <w:rFonts w:ascii="Times New Roman" w:eastAsia="Times New Roman" w:hAnsi="Times New Roman" w:cs="Times New Roman"/>
                <w:color w:val="000000"/>
                <w:sz w:val="20"/>
              </w:rPr>
              <w:tab/>
              <w:t>N/A</w:t>
            </w:r>
            <w:r w:rsidRPr="002E104C">
              <w:rPr>
                <w:rFonts w:ascii="Times New Roman" w:eastAsia="Times New Roman" w:hAnsi="Times New Roman" w:cs="Times New Roman"/>
                <w:color w:val="000000"/>
                <w:sz w:val="20"/>
              </w:rPr>
              <w:tab/>
              <w:t>1.1</w:t>
            </w:r>
            <w:r w:rsidRPr="002E104C">
              <w:rPr>
                <w:rFonts w:ascii="Times New Roman" w:eastAsia="Times New Roman" w:hAnsi="Times New Roman" w:cs="Times New Roman"/>
                <w:color w:val="000000"/>
                <w:sz w:val="20"/>
              </w:rPr>
              <w:tab/>
              <w:t>NO</w:t>
            </w:r>
            <w:r w:rsidRPr="002E104C">
              <w:rPr>
                <w:rFonts w:ascii="Times New Roman" w:eastAsia="Times New Roman" w:hAnsi="Times New Roman" w:cs="Times New Roman"/>
                <w:color w:val="000000"/>
                <w:sz w:val="20"/>
              </w:rPr>
              <w:tab/>
              <w:t>By-product of drinking water chlorination</w:t>
            </w:r>
          </w:p>
          <w:p w14:paraId="085AD1FD" w14:textId="77777777" w:rsidR="002E104C" w:rsidRPr="002E104C" w:rsidRDefault="002E104C" w:rsidP="002E104C">
            <w:pPr>
              <w:spacing w:after="0" w:line="259" w:lineRule="auto"/>
              <w:ind w:left="79"/>
              <w:rPr>
                <w:rFonts w:ascii="Times New Roman" w:eastAsia="Times New Roman" w:hAnsi="Times New Roman" w:cs="Times New Roman"/>
                <w:color w:val="000000"/>
              </w:rPr>
            </w:pPr>
            <w:r w:rsidRPr="002E104C">
              <w:rPr>
                <w:rFonts w:ascii="Times New Roman" w:eastAsia="Times New Roman" w:hAnsi="Times New Roman" w:cs="Times New Roman"/>
                <w:color w:val="000000"/>
                <w:sz w:val="26"/>
              </w:rPr>
              <w:t>PRIMARY INORGANIC SUBSTANCE</w:t>
            </w:r>
          </w:p>
          <w:p w14:paraId="1F368D76" w14:textId="179E81E3" w:rsidR="002E104C" w:rsidRPr="002E104C" w:rsidRDefault="002E104C" w:rsidP="002E104C">
            <w:pPr>
              <w:spacing w:after="0" w:line="259" w:lineRule="auto"/>
              <w:ind w:left="1128"/>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u w:val="single" w:color="000000"/>
              </w:rPr>
              <w:t>A</w:t>
            </w:r>
            <w:r w:rsidR="000C59E0">
              <w:rPr>
                <w:rFonts w:ascii="Times New Roman" w:eastAsia="Times New Roman" w:hAnsi="Times New Roman" w:cs="Times New Roman"/>
                <w:color w:val="000000"/>
                <w:sz w:val="20"/>
                <w:u w:val="single" w:color="000000"/>
              </w:rPr>
              <w:t>m</w:t>
            </w:r>
            <w:r w:rsidRPr="002E104C">
              <w:rPr>
                <w:rFonts w:ascii="Times New Roman" w:eastAsia="Times New Roman" w:hAnsi="Times New Roman" w:cs="Times New Roman"/>
                <w:color w:val="000000"/>
                <w:sz w:val="20"/>
                <w:u w:val="single" w:color="000000"/>
              </w:rPr>
              <w:t>ount</w:t>
            </w:r>
            <w:r w:rsidRPr="002E104C">
              <w:rPr>
                <w:rFonts w:ascii="Times New Roman" w:eastAsia="Times New Roman" w:hAnsi="Times New Roman" w:cs="Times New Roman"/>
                <w:color w:val="000000"/>
                <w:sz w:val="20"/>
              </w:rPr>
              <w:t xml:space="preserve"> </w:t>
            </w:r>
            <w:r w:rsidRPr="002E104C">
              <w:rPr>
                <w:rFonts w:ascii="Times New Roman" w:eastAsia="Times New Roman" w:hAnsi="Times New Roman" w:cs="Times New Roman"/>
                <w:color w:val="000000"/>
                <w:sz w:val="20"/>
                <w:u w:val="single" w:color="000000"/>
              </w:rPr>
              <w:t>Violations</w:t>
            </w:r>
          </w:p>
        </w:tc>
      </w:tr>
      <w:tr w:rsidR="002E104C" w:rsidRPr="002E104C" w14:paraId="1B285DB2" w14:textId="77777777" w:rsidTr="00BE319A">
        <w:trPr>
          <w:trHeight w:val="216"/>
        </w:trPr>
        <w:tc>
          <w:tcPr>
            <w:tcW w:w="2270" w:type="dxa"/>
            <w:tcBorders>
              <w:top w:val="nil"/>
              <w:left w:val="nil"/>
              <w:bottom w:val="nil"/>
              <w:right w:val="nil"/>
            </w:tcBorders>
          </w:tcPr>
          <w:p w14:paraId="73F6411E" w14:textId="77777777" w:rsidR="002E104C" w:rsidRPr="002E104C" w:rsidRDefault="002E104C" w:rsidP="002E104C">
            <w:pPr>
              <w:spacing w:after="160" w:line="259" w:lineRule="auto"/>
              <w:rPr>
                <w:rFonts w:ascii="Times New Roman" w:eastAsia="Times New Roman" w:hAnsi="Times New Roman" w:cs="Times New Roman"/>
                <w:color w:val="000000"/>
              </w:rPr>
            </w:pPr>
          </w:p>
        </w:tc>
        <w:tc>
          <w:tcPr>
            <w:tcW w:w="848" w:type="dxa"/>
            <w:tcBorders>
              <w:top w:val="nil"/>
              <w:left w:val="nil"/>
              <w:bottom w:val="nil"/>
              <w:right w:val="nil"/>
            </w:tcBorders>
          </w:tcPr>
          <w:p w14:paraId="492D1FD9" w14:textId="77777777" w:rsidR="002E104C" w:rsidRPr="002E104C" w:rsidRDefault="002E104C" w:rsidP="002E104C">
            <w:pPr>
              <w:spacing w:after="0" w:line="259" w:lineRule="auto"/>
              <w:ind w:left="201"/>
              <w:rPr>
                <w:rFonts w:ascii="Times New Roman" w:eastAsia="Times New Roman" w:hAnsi="Times New Roman" w:cs="Times New Roman"/>
                <w:color w:val="000000"/>
              </w:rPr>
            </w:pPr>
            <w:r w:rsidRPr="002E104C">
              <w:rPr>
                <w:rFonts w:ascii="Times New Roman" w:eastAsia="Times New Roman" w:hAnsi="Times New Roman" w:cs="Times New Roman"/>
                <w:color w:val="000000"/>
                <w:u w:val="single" w:color="000000"/>
              </w:rPr>
              <w:t>MCL</w:t>
            </w:r>
          </w:p>
        </w:tc>
        <w:tc>
          <w:tcPr>
            <w:tcW w:w="7370" w:type="dxa"/>
            <w:tcBorders>
              <w:top w:val="nil"/>
              <w:left w:val="nil"/>
              <w:bottom w:val="nil"/>
              <w:right w:val="nil"/>
            </w:tcBorders>
          </w:tcPr>
          <w:p w14:paraId="632B9CB9" w14:textId="77777777" w:rsidR="002E104C" w:rsidRPr="002E104C" w:rsidRDefault="002E104C" w:rsidP="002E104C">
            <w:pPr>
              <w:tabs>
                <w:tab w:val="center" w:pos="1573"/>
                <w:tab w:val="center" w:pos="5323"/>
              </w:tabs>
              <w:spacing w:after="0" w:line="259" w:lineRule="auto"/>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rPr>
              <w:tab/>
            </w:r>
            <w:r w:rsidRPr="002E104C">
              <w:rPr>
                <w:rFonts w:ascii="Times New Roman" w:eastAsia="Times New Roman" w:hAnsi="Times New Roman" w:cs="Times New Roman"/>
                <w:color w:val="000000"/>
                <w:sz w:val="20"/>
                <w:u w:val="single" w:color="000000"/>
              </w:rPr>
              <w:t>MCLG</w:t>
            </w:r>
            <w:r w:rsidRPr="002E104C">
              <w:rPr>
                <w:rFonts w:ascii="Times New Roman" w:eastAsia="Times New Roman" w:hAnsi="Times New Roman" w:cs="Times New Roman"/>
                <w:color w:val="000000"/>
                <w:sz w:val="20"/>
              </w:rPr>
              <w:t xml:space="preserve"> </w:t>
            </w:r>
            <w:r w:rsidRPr="002E104C">
              <w:rPr>
                <w:rFonts w:ascii="Times New Roman" w:eastAsia="Times New Roman" w:hAnsi="Times New Roman" w:cs="Times New Roman"/>
                <w:color w:val="000000"/>
                <w:sz w:val="20"/>
                <w:u w:val="single" w:color="000000"/>
              </w:rPr>
              <w:t>Detected</w:t>
            </w:r>
            <w:r w:rsidRPr="002E104C">
              <w:rPr>
                <w:rFonts w:ascii="Times New Roman" w:eastAsia="Times New Roman" w:hAnsi="Times New Roman" w:cs="Times New Roman"/>
                <w:color w:val="000000"/>
                <w:sz w:val="20"/>
              </w:rPr>
              <w:t xml:space="preserve"> </w:t>
            </w:r>
            <w:r w:rsidRPr="002E104C">
              <w:rPr>
                <w:rFonts w:ascii="Times New Roman" w:eastAsia="Times New Roman" w:hAnsi="Times New Roman" w:cs="Times New Roman"/>
                <w:color w:val="000000"/>
                <w:sz w:val="20"/>
                <w:u w:val="single" w:color="000000"/>
              </w:rPr>
              <w:t>(YES/NO)</w:t>
            </w:r>
            <w:r w:rsidRPr="002E104C">
              <w:rPr>
                <w:rFonts w:ascii="Times New Roman" w:eastAsia="Times New Roman" w:hAnsi="Times New Roman" w:cs="Times New Roman"/>
                <w:color w:val="000000"/>
                <w:sz w:val="20"/>
                <w:u w:val="single" w:color="000000"/>
              </w:rPr>
              <w:tab/>
              <w:t>Source Of Substance</w:t>
            </w:r>
          </w:p>
        </w:tc>
      </w:tr>
    </w:tbl>
    <w:p w14:paraId="769F2C22" w14:textId="043D4C20" w:rsidR="002E104C" w:rsidRPr="002E104C" w:rsidRDefault="000C59E0" w:rsidP="002E104C">
      <w:pPr>
        <w:keepNext/>
        <w:keepLines/>
        <w:spacing w:after="80" w:line="265" w:lineRule="auto"/>
        <w:ind w:left="-5" w:hanging="10"/>
        <w:outlineLvl w:val="0"/>
        <w:rPr>
          <w:rFonts w:ascii="Times New Roman" w:eastAsia="Times New Roman" w:hAnsi="Times New Roman" w:cs="Times New Roman"/>
          <w:color w:val="000000"/>
          <w:u w:val="single" w:color="000000"/>
        </w:rPr>
      </w:pPr>
      <w:r>
        <w:rPr>
          <w:rFonts w:ascii="Times New Roman" w:eastAsia="Times New Roman" w:hAnsi="Times New Roman" w:cs="Times New Roman"/>
          <w:color w:val="000000"/>
          <w:u w:val="single" w:color="000000"/>
        </w:rPr>
        <w:t xml:space="preserve">   </w:t>
      </w:r>
      <w:proofErr w:type="spellStart"/>
      <w:r w:rsidR="002E104C" w:rsidRPr="002E104C">
        <w:rPr>
          <w:rFonts w:ascii="Times New Roman" w:eastAsia="Times New Roman" w:hAnsi="Times New Roman" w:cs="Times New Roman"/>
          <w:color w:val="000000"/>
          <w:u w:val="single" w:color="000000"/>
        </w:rPr>
        <w:t>Substane</w:t>
      </w:r>
      <w:proofErr w:type="spellEnd"/>
    </w:p>
    <w:p w14:paraId="536D1693" w14:textId="77777777" w:rsidR="002E104C" w:rsidRPr="002E104C" w:rsidRDefault="002E104C" w:rsidP="002E104C">
      <w:pPr>
        <w:spacing w:after="160" w:line="259" w:lineRule="auto"/>
        <w:rPr>
          <w:rFonts w:ascii="Times New Roman" w:eastAsia="Times New Roman" w:hAnsi="Times New Roman" w:cs="Times New Roman"/>
          <w:color w:val="000000"/>
        </w:rPr>
        <w:sectPr w:rsidR="002E104C" w:rsidRPr="002E104C">
          <w:type w:val="continuous"/>
          <w:pgSz w:w="12240" w:h="15840"/>
          <w:pgMar w:top="939" w:right="10466" w:bottom="1440" w:left="919" w:header="720" w:footer="720" w:gutter="0"/>
          <w:cols w:space="720"/>
        </w:sectPr>
      </w:pPr>
    </w:p>
    <w:tbl>
      <w:tblPr>
        <w:tblStyle w:val="TableGrid"/>
        <w:tblpPr w:vertAnchor="text" w:horzAnchor="margin" w:tblpX="43" w:tblpY="280"/>
        <w:tblOverlap w:val="never"/>
        <w:tblW w:w="10480" w:type="dxa"/>
        <w:tblInd w:w="0" w:type="dxa"/>
        <w:tblLook w:val="04A0" w:firstRow="1" w:lastRow="0" w:firstColumn="1" w:lastColumn="0" w:noHBand="0" w:noVBand="1"/>
      </w:tblPr>
      <w:tblGrid>
        <w:gridCol w:w="2299"/>
        <w:gridCol w:w="1027"/>
        <w:gridCol w:w="7154"/>
      </w:tblGrid>
      <w:tr w:rsidR="002E104C" w:rsidRPr="002E104C" w14:paraId="01F69000" w14:textId="77777777" w:rsidTr="00BE319A">
        <w:trPr>
          <w:trHeight w:val="688"/>
        </w:trPr>
        <w:tc>
          <w:tcPr>
            <w:tcW w:w="2299" w:type="dxa"/>
            <w:tcBorders>
              <w:top w:val="nil"/>
              <w:left w:val="nil"/>
              <w:bottom w:val="nil"/>
              <w:right w:val="nil"/>
            </w:tcBorders>
          </w:tcPr>
          <w:p w14:paraId="1B07F9EB" w14:textId="77777777" w:rsidR="002E104C" w:rsidRPr="002E104C" w:rsidRDefault="002E104C" w:rsidP="002E104C">
            <w:pPr>
              <w:tabs>
                <w:tab w:val="center" w:pos="1911"/>
              </w:tabs>
              <w:spacing w:after="0" w:line="259" w:lineRule="auto"/>
              <w:rPr>
                <w:rFonts w:ascii="Times New Roman" w:eastAsia="Times New Roman" w:hAnsi="Times New Roman" w:cs="Times New Roman"/>
                <w:color w:val="000000"/>
              </w:rPr>
            </w:pPr>
            <w:r w:rsidRPr="002E104C">
              <w:rPr>
                <w:rFonts w:ascii="Times New Roman" w:eastAsia="Times New Roman" w:hAnsi="Times New Roman" w:cs="Times New Roman"/>
                <w:color w:val="000000"/>
                <w:u w:val="single" w:color="000000"/>
              </w:rPr>
              <w:t>Fluoride</w:t>
            </w:r>
            <w:r w:rsidRPr="002E104C">
              <w:rPr>
                <w:rFonts w:ascii="Times New Roman" w:eastAsia="Times New Roman" w:hAnsi="Times New Roman" w:cs="Times New Roman"/>
                <w:color w:val="000000"/>
                <w:u w:val="single" w:color="000000"/>
              </w:rPr>
              <w:tab/>
            </w:r>
            <w:r w:rsidRPr="002E104C">
              <w:rPr>
                <w:rFonts w:ascii="Times New Roman" w:eastAsia="Times New Roman" w:hAnsi="Times New Roman" w:cs="Times New Roman"/>
                <w:color w:val="000000"/>
              </w:rPr>
              <w:t>ppm</w:t>
            </w:r>
          </w:p>
        </w:tc>
        <w:tc>
          <w:tcPr>
            <w:tcW w:w="1027" w:type="dxa"/>
            <w:tcBorders>
              <w:top w:val="nil"/>
              <w:left w:val="nil"/>
              <w:bottom w:val="nil"/>
              <w:right w:val="nil"/>
            </w:tcBorders>
          </w:tcPr>
          <w:p w14:paraId="1C0B7128" w14:textId="77777777" w:rsidR="002E104C" w:rsidRPr="002E104C" w:rsidRDefault="002E104C" w:rsidP="002E104C">
            <w:pPr>
              <w:spacing w:after="0" w:line="259" w:lineRule="auto"/>
              <w:ind w:left="302"/>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rPr>
              <w:t>4.0</w:t>
            </w:r>
          </w:p>
        </w:tc>
        <w:tc>
          <w:tcPr>
            <w:tcW w:w="7154" w:type="dxa"/>
            <w:tcBorders>
              <w:top w:val="nil"/>
              <w:left w:val="nil"/>
              <w:bottom w:val="nil"/>
              <w:right w:val="nil"/>
            </w:tcBorders>
          </w:tcPr>
          <w:p w14:paraId="7E00DBA0" w14:textId="5E2D9ECA" w:rsidR="002E104C" w:rsidRPr="002E104C" w:rsidRDefault="002E104C" w:rsidP="002E104C">
            <w:pPr>
              <w:spacing w:after="0" w:line="259" w:lineRule="auto"/>
              <w:ind w:left="3052" w:hanging="2880"/>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rPr>
              <w:t>4.0</w:t>
            </w:r>
            <w:r w:rsidRPr="002E104C">
              <w:rPr>
                <w:rFonts w:ascii="Times New Roman" w:eastAsia="Times New Roman" w:hAnsi="Times New Roman" w:cs="Times New Roman"/>
                <w:color w:val="000000"/>
                <w:sz w:val="20"/>
              </w:rPr>
              <w:tab/>
              <w:t>0.75</w:t>
            </w:r>
            <w:r w:rsidRPr="002E104C">
              <w:rPr>
                <w:rFonts w:ascii="Times New Roman" w:eastAsia="Times New Roman" w:hAnsi="Times New Roman" w:cs="Times New Roman"/>
                <w:color w:val="000000"/>
                <w:sz w:val="20"/>
              </w:rPr>
              <w:tab/>
              <w:t>NO</w:t>
            </w:r>
            <w:r w:rsidRPr="002E104C">
              <w:rPr>
                <w:rFonts w:ascii="Times New Roman" w:eastAsia="Times New Roman" w:hAnsi="Times New Roman" w:cs="Times New Roman"/>
                <w:color w:val="000000"/>
                <w:sz w:val="20"/>
              </w:rPr>
              <w:tab/>
              <w:t>Erosion of natural deposits; water additive that pron10tes strong teeth; discharge from f</w:t>
            </w:r>
            <w:r>
              <w:rPr>
                <w:rFonts w:ascii="Times New Roman" w:eastAsia="Times New Roman" w:hAnsi="Times New Roman" w:cs="Times New Roman"/>
                <w:color w:val="000000"/>
                <w:sz w:val="20"/>
              </w:rPr>
              <w:t>ert</w:t>
            </w:r>
            <w:r w:rsidRPr="002E104C">
              <w:rPr>
                <w:rFonts w:ascii="Times New Roman" w:eastAsia="Times New Roman" w:hAnsi="Times New Roman" w:cs="Times New Roman"/>
                <w:color w:val="000000"/>
                <w:sz w:val="20"/>
              </w:rPr>
              <w:t xml:space="preserve">ilizer and </w:t>
            </w:r>
            <w:r w:rsidR="000C59E0" w:rsidRPr="002E104C">
              <w:rPr>
                <w:rFonts w:ascii="Times New Roman" w:eastAsia="Times New Roman" w:hAnsi="Times New Roman" w:cs="Times New Roman"/>
                <w:color w:val="000000"/>
                <w:sz w:val="20"/>
              </w:rPr>
              <w:t>a</w:t>
            </w:r>
            <w:r w:rsidR="000C59E0">
              <w:rPr>
                <w:rFonts w:ascii="Times New Roman" w:eastAsia="Times New Roman" w:hAnsi="Times New Roman" w:cs="Times New Roman"/>
                <w:color w:val="000000"/>
                <w:sz w:val="20"/>
              </w:rPr>
              <w:t xml:space="preserve">luminum </w:t>
            </w:r>
            <w:r w:rsidR="000C59E0" w:rsidRPr="002E104C">
              <w:rPr>
                <w:rFonts w:ascii="Times New Roman" w:eastAsia="Times New Roman" w:hAnsi="Times New Roman" w:cs="Times New Roman"/>
                <w:color w:val="000000"/>
                <w:sz w:val="20"/>
              </w:rPr>
              <w:t>factories</w:t>
            </w:r>
            <w:r w:rsidRPr="002E104C">
              <w:rPr>
                <w:rFonts w:ascii="Times New Roman" w:eastAsia="Times New Roman" w:hAnsi="Times New Roman" w:cs="Times New Roman"/>
                <w:color w:val="000000"/>
                <w:sz w:val="20"/>
              </w:rPr>
              <w:t>.</w:t>
            </w:r>
          </w:p>
        </w:tc>
      </w:tr>
      <w:tr w:rsidR="002E104C" w:rsidRPr="002E104C" w14:paraId="3725FDB9" w14:textId="77777777" w:rsidTr="00BE319A">
        <w:trPr>
          <w:trHeight w:val="1359"/>
        </w:trPr>
        <w:tc>
          <w:tcPr>
            <w:tcW w:w="2299" w:type="dxa"/>
            <w:tcBorders>
              <w:top w:val="nil"/>
              <w:left w:val="nil"/>
              <w:bottom w:val="nil"/>
              <w:right w:val="nil"/>
            </w:tcBorders>
          </w:tcPr>
          <w:p w14:paraId="6AFF01AD" w14:textId="77777777" w:rsidR="002E104C" w:rsidRPr="002E104C" w:rsidRDefault="002E104C" w:rsidP="002E104C">
            <w:pPr>
              <w:tabs>
                <w:tab w:val="center" w:pos="1904"/>
              </w:tabs>
              <w:spacing w:after="0" w:line="259" w:lineRule="auto"/>
              <w:rPr>
                <w:rFonts w:ascii="Times New Roman" w:eastAsia="Times New Roman" w:hAnsi="Times New Roman" w:cs="Times New Roman"/>
                <w:color w:val="000000"/>
              </w:rPr>
            </w:pPr>
            <w:r w:rsidRPr="002E104C">
              <w:rPr>
                <w:rFonts w:ascii="Times New Roman" w:eastAsia="Times New Roman" w:hAnsi="Times New Roman" w:cs="Times New Roman"/>
                <w:color w:val="000000"/>
                <w:u w:val="single" w:color="000000"/>
              </w:rPr>
              <w:t>Nitrate/Nitrite</w:t>
            </w:r>
            <w:r w:rsidRPr="002E104C">
              <w:rPr>
                <w:rFonts w:ascii="Times New Roman" w:eastAsia="Times New Roman" w:hAnsi="Times New Roman" w:cs="Times New Roman"/>
                <w:color w:val="000000"/>
                <w:u w:val="single" w:color="000000"/>
              </w:rPr>
              <w:tab/>
            </w:r>
            <w:r w:rsidRPr="002E104C">
              <w:rPr>
                <w:rFonts w:ascii="Times New Roman" w:eastAsia="Times New Roman" w:hAnsi="Times New Roman" w:cs="Times New Roman"/>
                <w:color w:val="000000"/>
              </w:rPr>
              <w:t>ppm</w:t>
            </w:r>
          </w:p>
        </w:tc>
        <w:tc>
          <w:tcPr>
            <w:tcW w:w="1027" w:type="dxa"/>
            <w:tcBorders>
              <w:top w:val="nil"/>
              <w:left w:val="nil"/>
              <w:bottom w:val="nil"/>
              <w:right w:val="nil"/>
            </w:tcBorders>
          </w:tcPr>
          <w:p w14:paraId="53F03419" w14:textId="77777777" w:rsidR="002E104C" w:rsidRPr="002E104C" w:rsidRDefault="002E104C" w:rsidP="002E104C">
            <w:pPr>
              <w:spacing w:after="0" w:line="259" w:lineRule="auto"/>
              <w:ind w:left="273"/>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rPr>
              <w:t>10.0</w:t>
            </w:r>
          </w:p>
        </w:tc>
        <w:tc>
          <w:tcPr>
            <w:tcW w:w="7154" w:type="dxa"/>
            <w:tcBorders>
              <w:top w:val="nil"/>
              <w:left w:val="nil"/>
              <w:bottom w:val="nil"/>
              <w:right w:val="nil"/>
            </w:tcBorders>
          </w:tcPr>
          <w:p w14:paraId="410B835D" w14:textId="77777777" w:rsidR="002E104C" w:rsidRPr="002E104C" w:rsidRDefault="002E104C" w:rsidP="002E104C">
            <w:pPr>
              <w:spacing w:after="294" w:line="283" w:lineRule="auto"/>
              <w:ind w:left="3046" w:hanging="2902"/>
              <w:jc w:val="both"/>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rPr>
              <w:t>10.0 0.14 NO Run off from fertilizer use; Leaching from septic tanks, sewage: Erosion of natural deposits.</w:t>
            </w:r>
          </w:p>
          <w:p w14:paraId="71BB7048" w14:textId="77777777" w:rsidR="002E104C" w:rsidRPr="002E104C" w:rsidRDefault="002E104C" w:rsidP="002E104C">
            <w:pPr>
              <w:spacing w:after="27" w:line="259" w:lineRule="auto"/>
              <w:ind w:left="172"/>
              <w:rPr>
                <w:rFonts w:ascii="Times New Roman" w:eastAsia="Times New Roman" w:hAnsi="Times New Roman" w:cs="Times New Roman"/>
                <w:color w:val="000000"/>
              </w:rPr>
            </w:pPr>
            <w:r w:rsidRPr="002E104C">
              <w:rPr>
                <w:rFonts w:ascii="Times New Roman" w:eastAsia="Times New Roman" w:hAnsi="Times New Roman" w:cs="Times New Roman"/>
                <w:color w:val="000000"/>
                <w:sz w:val="26"/>
              </w:rPr>
              <w:t>DISINFECTION BY-PRODUCTS</w:t>
            </w:r>
          </w:p>
          <w:p w14:paraId="3ECF70C5" w14:textId="176A36D3" w:rsidR="002E104C" w:rsidRPr="002E104C" w:rsidRDefault="002E104C" w:rsidP="002E104C">
            <w:pPr>
              <w:tabs>
                <w:tab w:val="center" w:pos="1631"/>
                <w:tab w:val="center" w:pos="2873"/>
              </w:tabs>
              <w:spacing w:after="0" w:line="259" w:lineRule="auto"/>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rPr>
              <w:tab/>
            </w:r>
            <w:r w:rsidRPr="002E104C">
              <w:rPr>
                <w:rFonts w:ascii="Times New Roman" w:eastAsia="Times New Roman" w:hAnsi="Times New Roman" w:cs="Times New Roman"/>
                <w:color w:val="000000"/>
                <w:sz w:val="20"/>
                <w:u w:val="single" w:color="000000"/>
              </w:rPr>
              <w:t>A</w:t>
            </w:r>
            <w:r>
              <w:rPr>
                <w:rFonts w:ascii="Times New Roman" w:eastAsia="Times New Roman" w:hAnsi="Times New Roman" w:cs="Times New Roman"/>
                <w:color w:val="000000"/>
                <w:sz w:val="20"/>
                <w:u w:val="single" w:color="000000"/>
              </w:rPr>
              <w:t>m</w:t>
            </w:r>
            <w:r w:rsidRPr="002E104C">
              <w:rPr>
                <w:rFonts w:ascii="Times New Roman" w:eastAsia="Times New Roman" w:hAnsi="Times New Roman" w:cs="Times New Roman"/>
                <w:color w:val="000000"/>
                <w:sz w:val="20"/>
                <w:u w:val="single" w:color="000000"/>
              </w:rPr>
              <w:t>ount</w:t>
            </w:r>
            <w:r w:rsidRPr="002E104C">
              <w:rPr>
                <w:rFonts w:ascii="Times New Roman" w:eastAsia="Times New Roman" w:hAnsi="Times New Roman" w:cs="Times New Roman"/>
                <w:color w:val="000000"/>
                <w:sz w:val="20"/>
                <w:u w:val="single" w:color="000000"/>
              </w:rPr>
              <w:tab/>
              <w:t>Violations</w:t>
            </w:r>
          </w:p>
        </w:tc>
      </w:tr>
      <w:tr w:rsidR="002E104C" w:rsidRPr="002E104C" w14:paraId="64F5E4F3" w14:textId="77777777" w:rsidTr="00BE319A">
        <w:trPr>
          <w:trHeight w:val="2156"/>
        </w:trPr>
        <w:tc>
          <w:tcPr>
            <w:tcW w:w="2299" w:type="dxa"/>
            <w:tcBorders>
              <w:top w:val="nil"/>
              <w:left w:val="nil"/>
              <w:bottom w:val="nil"/>
              <w:right w:val="nil"/>
            </w:tcBorders>
          </w:tcPr>
          <w:p w14:paraId="478378F9" w14:textId="77777777" w:rsidR="002E104C" w:rsidRPr="002E104C" w:rsidRDefault="002E104C" w:rsidP="002E104C">
            <w:pPr>
              <w:spacing w:after="0" w:line="259" w:lineRule="auto"/>
              <w:rPr>
                <w:rFonts w:ascii="Times New Roman" w:eastAsia="Times New Roman" w:hAnsi="Times New Roman" w:cs="Times New Roman"/>
                <w:color w:val="000000"/>
              </w:rPr>
            </w:pPr>
            <w:r w:rsidRPr="002E104C">
              <w:rPr>
                <w:rFonts w:ascii="Times New Roman" w:eastAsia="Times New Roman" w:hAnsi="Times New Roman" w:cs="Times New Roman"/>
                <w:color w:val="000000"/>
                <w:u w:val="single" w:color="000000"/>
              </w:rPr>
              <w:t>Substance</w:t>
            </w:r>
          </w:p>
        </w:tc>
        <w:tc>
          <w:tcPr>
            <w:tcW w:w="1027" w:type="dxa"/>
            <w:tcBorders>
              <w:top w:val="nil"/>
              <w:left w:val="nil"/>
              <w:bottom w:val="nil"/>
              <w:right w:val="nil"/>
            </w:tcBorders>
          </w:tcPr>
          <w:p w14:paraId="19C4CF56" w14:textId="77777777" w:rsidR="002E104C" w:rsidRPr="002E104C" w:rsidRDefault="002E104C" w:rsidP="002E104C">
            <w:pPr>
              <w:spacing w:after="11" w:line="294" w:lineRule="auto"/>
              <w:ind w:left="518" w:hanging="65"/>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u w:val="single" w:color="000000"/>
              </w:rPr>
              <w:t xml:space="preserve">Units </w:t>
            </w:r>
            <w:r w:rsidRPr="002E104C">
              <w:rPr>
                <w:rFonts w:ascii="Times New Roman" w:eastAsia="Times New Roman" w:hAnsi="Times New Roman" w:cs="Times New Roman"/>
                <w:color w:val="000000"/>
                <w:sz w:val="20"/>
              </w:rPr>
              <w:t xml:space="preserve">ppb </w:t>
            </w:r>
            <w:proofErr w:type="spellStart"/>
            <w:r w:rsidRPr="002E104C">
              <w:rPr>
                <w:rFonts w:ascii="Times New Roman" w:eastAsia="Times New Roman" w:hAnsi="Times New Roman" w:cs="Times New Roman"/>
                <w:color w:val="000000"/>
                <w:sz w:val="20"/>
              </w:rPr>
              <w:t>ppb</w:t>
            </w:r>
            <w:proofErr w:type="spellEnd"/>
          </w:p>
          <w:p w14:paraId="2E52D8C8" w14:textId="77777777" w:rsidR="002E104C" w:rsidRPr="002E104C" w:rsidRDefault="002E104C" w:rsidP="002E104C">
            <w:pPr>
              <w:spacing w:after="849" w:line="259" w:lineRule="auto"/>
              <w:ind w:left="488"/>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rPr>
              <w:t>N/A</w:t>
            </w:r>
          </w:p>
          <w:p w14:paraId="3B532F86" w14:textId="77777777" w:rsidR="002E104C" w:rsidRPr="002E104C" w:rsidRDefault="002E104C" w:rsidP="002E104C">
            <w:pPr>
              <w:spacing w:after="0" w:line="259" w:lineRule="auto"/>
              <w:ind w:left="65"/>
              <w:rPr>
                <w:rFonts w:ascii="Times New Roman" w:eastAsia="Times New Roman" w:hAnsi="Times New Roman" w:cs="Times New Roman"/>
                <w:color w:val="000000"/>
              </w:rPr>
            </w:pPr>
            <w:r w:rsidRPr="002E104C">
              <w:rPr>
                <w:rFonts w:ascii="Times New Roman" w:eastAsia="Times New Roman" w:hAnsi="Times New Roman" w:cs="Times New Roman"/>
                <w:color w:val="000000"/>
                <w:u w:val="single" w:color="000000"/>
              </w:rPr>
              <w:t>MCL</w:t>
            </w:r>
          </w:p>
        </w:tc>
        <w:tc>
          <w:tcPr>
            <w:tcW w:w="7154" w:type="dxa"/>
            <w:tcBorders>
              <w:top w:val="nil"/>
              <w:left w:val="nil"/>
              <w:bottom w:val="nil"/>
              <w:right w:val="nil"/>
            </w:tcBorders>
          </w:tcPr>
          <w:p w14:paraId="0152EA5F" w14:textId="77777777" w:rsidR="002E104C" w:rsidRPr="002E104C" w:rsidRDefault="002E104C" w:rsidP="002E104C">
            <w:pPr>
              <w:tabs>
                <w:tab w:val="center" w:pos="593"/>
                <w:tab w:val="center" w:pos="1620"/>
                <w:tab w:val="center" w:pos="2870"/>
                <w:tab w:val="center" w:pos="5438"/>
              </w:tabs>
              <w:spacing w:after="0" w:line="259" w:lineRule="auto"/>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u w:val="single" w:color="000000"/>
              </w:rPr>
              <w:tab/>
              <w:t>Detected</w:t>
            </w:r>
            <w:r w:rsidRPr="002E104C">
              <w:rPr>
                <w:rFonts w:ascii="Times New Roman" w:eastAsia="Times New Roman" w:hAnsi="Times New Roman" w:cs="Times New Roman"/>
                <w:color w:val="000000"/>
                <w:sz w:val="20"/>
                <w:u w:val="single" w:color="000000"/>
              </w:rPr>
              <w:tab/>
              <w:t>(YES/NO)</w:t>
            </w:r>
            <w:r w:rsidRPr="002E104C">
              <w:rPr>
                <w:rFonts w:ascii="Times New Roman" w:eastAsia="Times New Roman" w:hAnsi="Times New Roman" w:cs="Times New Roman"/>
                <w:color w:val="000000"/>
                <w:sz w:val="20"/>
                <w:u w:val="single" w:color="000000"/>
              </w:rPr>
              <w:tab/>
              <w:t>Source Of Substance</w:t>
            </w:r>
          </w:p>
        </w:tc>
      </w:tr>
    </w:tbl>
    <w:p w14:paraId="485D1F16" w14:textId="77777777" w:rsidR="002E104C" w:rsidRPr="002E104C" w:rsidRDefault="002E104C" w:rsidP="002E104C">
      <w:pPr>
        <w:keepNext/>
        <w:keepLines/>
        <w:tabs>
          <w:tab w:val="right" w:pos="2112"/>
        </w:tabs>
        <w:spacing w:after="80" w:line="265" w:lineRule="auto"/>
        <w:ind w:left="-15"/>
        <w:outlineLvl w:val="0"/>
        <w:rPr>
          <w:rFonts w:ascii="Times New Roman" w:eastAsia="Times New Roman" w:hAnsi="Times New Roman" w:cs="Times New Roman"/>
          <w:color w:val="000000"/>
          <w:u w:val="single" w:color="000000"/>
        </w:rPr>
      </w:pPr>
      <w:r w:rsidRPr="002E104C">
        <w:rPr>
          <w:rFonts w:ascii="Times New Roman" w:eastAsia="Times New Roman" w:hAnsi="Times New Roman" w:cs="Times New Roman"/>
          <w:color w:val="000000"/>
          <w:u w:val="single" w:color="000000"/>
        </w:rPr>
        <w:t>Substance</w:t>
      </w:r>
      <w:r w:rsidRPr="002E104C">
        <w:rPr>
          <w:rFonts w:ascii="Times New Roman" w:eastAsia="Times New Roman" w:hAnsi="Times New Roman" w:cs="Times New Roman"/>
          <w:color w:val="000000"/>
          <w:u w:val="single" w:color="000000"/>
        </w:rPr>
        <w:tab/>
        <w:t>Units</w:t>
      </w:r>
    </w:p>
    <w:p w14:paraId="377E6802" w14:textId="77777777" w:rsidR="002E104C" w:rsidRPr="002E104C" w:rsidRDefault="002E104C" w:rsidP="002E104C">
      <w:pPr>
        <w:spacing w:after="160" w:line="259" w:lineRule="auto"/>
        <w:rPr>
          <w:rFonts w:ascii="Times New Roman" w:eastAsia="Times New Roman" w:hAnsi="Times New Roman" w:cs="Times New Roman"/>
          <w:color w:val="000000"/>
        </w:rPr>
        <w:sectPr w:rsidR="002E104C" w:rsidRPr="002E104C">
          <w:type w:val="continuous"/>
          <w:pgSz w:w="12240" w:h="15840"/>
          <w:pgMar w:top="939" w:right="9230" w:bottom="1440" w:left="898" w:header="720" w:footer="720" w:gutter="0"/>
          <w:cols w:space="720"/>
        </w:sectPr>
      </w:pPr>
    </w:p>
    <w:p w14:paraId="0768E67A" w14:textId="77777777" w:rsidR="002E104C" w:rsidRPr="002E104C" w:rsidRDefault="002E104C" w:rsidP="002E104C">
      <w:pPr>
        <w:tabs>
          <w:tab w:val="center" w:pos="3940"/>
          <w:tab w:val="center" w:pos="4964"/>
          <w:tab w:val="center" w:pos="6213"/>
          <w:tab w:val="right" w:pos="10495"/>
        </w:tabs>
        <w:spacing w:after="41" w:line="259" w:lineRule="auto"/>
        <w:ind w:left="-1"/>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u w:val="single" w:color="000000"/>
        </w:rPr>
        <w:t xml:space="preserve">Total </w:t>
      </w:r>
      <w:proofErr w:type="spellStart"/>
      <w:r w:rsidRPr="002E104C">
        <w:rPr>
          <w:rFonts w:ascii="Times New Roman" w:eastAsia="Times New Roman" w:hAnsi="Times New Roman" w:cs="Times New Roman"/>
          <w:color w:val="000000"/>
          <w:sz w:val="20"/>
          <w:u w:val="single" w:color="000000"/>
        </w:rPr>
        <w:t>Trihalmnethanes</w:t>
      </w:r>
      <w:proofErr w:type="spellEnd"/>
      <w:r w:rsidRPr="002E104C">
        <w:rPr>
          <w:rFonts w:ascii="Times New Roman" w:eastAsia="Times New Roman" w:hAnsi="Times New Roman" w:cs="Times New Roman"/>
          <w:color w:val="000000"/>
          <w:sz w:val="20"/>
          <w:u w:val="single" w:color="000000"/>
        </w:rPr>
        <w:tab/>
      </w:r>
      <w:r w:rsidRPr="002E104C">
        <w:rPr>
          <w:rFonts w:ascii="Times New Roman" w:eastAsia="Times New Roman" w:hAnsi="Times New Roman" w:cs="Times New Roman"/>
          <w:color w:val="000000"/>
          <w:sz w:val="20"/>
        </w:rPr>
        <w:t>80</w:t>
      </w:r>
      <w:r w:rsidRPr="002E104C">
        <w:rPr>
          <w:rFonts w:ascii="Times New Roman" w:eastAsia="Times New Roman" w:hAnsi="Times New Roman" w:cs="Times New Roman"/>
          <w:color w:val="000000"/>
          <w:sz w:val="20"/>
        </w:rPr>
        <w:tab/>
        <w:t>69.25</w:t>
      </w:r>
      <w:r w:rsidRPr="002E104C">
        <w:rPr>
          <w:rFonts w:ascii="Times New Roman" w:eastAsia="Times New Roman" w:hAnsi="Times New Roman" w:cs="Times New Roman"/>
          <w:color w:val="000000"/>
          <w:sz w:val="20"/>
        </w:rPr>
        <w:tab/>
        <w:t>NO</w:t>
      </w:r>
      <w:r w:rsidRPr="002E104C">
        <w:rPr>
          <w:rFonts w:ascii="Times New Roman" w:eastAsia="Times New Roman" w:hAnsi="Times New Roman" w:cs="Times New Roman"/>
          <w:color w:val="000000"/>
          <w:sz w:val="20"/>
        </w:rPr>
        <w:tab/>
        <w:t>By-product of drinking water chlorination.</w:t>
      </w:r>
    </w:p>
    <w:p w14:paraId="5E5E9050" w14:textId="77777777" w:rsidR="002E104C" w:rsidRPr="002E104C" w:rsidRDefault="002E104C" w:rsidP="002E104C">
      <w:pPr>
        <w:tabs>
          <w:tab w:val="center" w:pos="3936"/>
          <w:tab w:val="center" w:pos="4964"/>
          <w:tab w:val="center" w:pos="6213"/>
          <w:tab w:val="right" w:pos="10495"/>
        </w:tabs>
        <w:spacing w:after="110" w:line="259" w:lineRule="auto"/>
        <w:ind w:left="-1"/>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u w:val="single" w:color="000000"/>
        </w:rPr>
        <w:t xml:space="preserve">Total </w:t>
      </w:r>
      <w:proofErr w:type="spellStart"/>
      <w:r w:rsidRPr="002E104C">
        <w:rPr>
          <w:rFonts w:ascii="Times New Roman" w:eastAsia="Times New Roman" w:hAnsi="Times New Roman" w:cs="Times New Roman"/>
          <w:color w:val="000000"/>
          <w:sz w:val="20"/>
          <w:u w:val="single" w:color="000000"/>
        </w:rPr>
        <w:t>Haloacetic</w:t>
      </w:r>
      <w:proofErr w:type="spellEnd"/>
      <w:r w:rsidRPr="002E104C">
        <w:rPr>
          <w:rFonts w:ascii="Times New Roman" w:eastAsia="Times New Roman" w:hAnsi="Times New Roman" w:cs="Times New Roman"/>
          <w:color w:val="000000"/>
          <w:sz w:val="20"/>
          <w:u w:val="single" w:color="000000"/>
        </w:rPr>
        <w:t xml:space="preserve"> Acids</w:t>
      </w:r>
      <w:r w:rsidRPr="002E104C">
        <w:rPr>
          <w:rFonts w:ascii="Times New Roman" w:eastAsia="Times New Roman" w:hAnsi="Times New Roman" w:cs="Times New Roman"/>
          <w:color w:val="000000"/>
          <w:sz w:val="20"/>
          <w:u w:val="single" w:color="000000"/>
        </w:rPr>
        <w:tab/>
      </w:r>
      <w:r w:rsidRPr="002E104C">
        <w:rPr>
          <w:rFonts w:ascii="Times New Roman" w:eastAsia="Times New Roman" w:hAnsi="Times New Roman" w:cs="Times New Roman"/>
          <w:color w:val="000000"/>
          <w:sz w:val="20"/>
        </w:rPr>
        <w:t>60</w:t>
      </w:r>
      <w:r w:rsidRPr="002E104C">
        <w:rPr>
          <w:rFonts w:ascii="Times New Roman" w:eastAsia="Times New Roman" w:hAnsi="Times New Roman" w:cs="Times New Roman"/>
          <w:color w:val="000000"/>
          <w:sz w:val="20"/>
        </w:rPr>
        <w:tab/>
        <w:t>62</w:t>
      </w:r>
      <w:r w:rsidRPr="002E104C">
        <w:rPr>
          <w:rFonts w:ascii="Times New Roman" w:eastAsia="Times New Roman" w:hAnsi="Times New Roman" w:cs="Times New Roman"/>
          <w:color w:val="000000"/>
          <w:sz w:val="20"/>
        </w:rPr>
        <w:tab/>
        <w:t>YES</w:t>
      </w:r>
      <w:r w:rsidRPr="002E104C">
        <w:rPr>
          <w:rFonts w:ascii="Times New Roman" w:eastAsia="Times New Roman" w:hAnsi="Times New Roman" w:cs="Times New Roman"/>
          <w:color w:val="000000"/>
          <w:sz w:val="20"/>
        </w:rPr>
        <w:tab/>
        <w:t>By-product of drinking water chlorination.</w:t>
      </w:r>
    </w:p>
    <w:p w14:paraId="6CD33D87" w14:textId="77777777" w:rsidR="002E104C" w:rsidRPr="002E104C" w:rsidRDefault="002E104C" w:rsidP="002E104C">
      <w:pPr>
        <w:tabs>
          <w:tab w:val="center" w:pos="4967"/>
          <w:tab w:val="center" w:pos="6210"/>
          <w:tab w:val="right" w:pos="10495"/>
        </w:tabs>
        <w:spacing w:after="284" w:line="259" w:lineRule="auto"/>
        <w:ind w:left="-1"/>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u w:val="single" w:color="000000"/>
        </w:rPr>
        <w:t>Total Organic Carbon</w:t>
      </w:r>
      <w:r w:rsidRPr="002E104C">
        <w:rPr>
          <w:rFonts w:ascii="Times New Roman" w:eastAsia="Times New Roman" w:hAnsi="Times New Roman" w:cs="Times New Roman"/>
          <w:color w:val="000000"/>
          <w:sz w:val="20"/>
          <w:u w:val="single" w:color="000000"/>
        </w:rPr>
        <w:tab/>
      </w:r>
      <w:r w:rsidRPr="002E104C">
        <w:rPr>
          <w:rFonts w:ascii="Times New Roman" w:eastAsia="Times New Roman" w:hAnsi="Times New Roman" w:cs="Times New Roman"/>
          <w:color w:val="000000"/>
          <w:sz w:val="20"/>
        </w:rPr>
        <w:t>1.5</w:t>
      </w:r>
      <w:r w:rsidRPr="002E104C">
        <w:rPr>
          <w:rFonts w:ascii="Times New Roman" w:eastAsia="Times New Roman" w:hAnsi="Times New Roman" w:cs="Times New Roman"/>
          <w:color w:val="000000"/>
          <w:sz w:val="20"/>
        </w:rPr>
        <w:tab/>
        <w:t>NO</w:t>
      </w:r>
      <w:r w:rsidRPr="002E104C">
        <w:rPr>
          <w:rFonts w:ascii="Times New Roman" w:eastAsia="Times New Roman" w:hAnsi="Times New Roman" w:cs="Times New Roman"/>
          <w:color w:val="000000"/>
          <w:sz w:val="20"/>
        </w:rPr>
        <w:tab/>
        <w:t>By-product of drinking water chlorination</w:t>
      </w:r>
    </w:p>
    <w:p w14:paraId="7EEC5688" w14:textId="77777777" w:rsidR="002E104C" w:rsidRPr="002E104C" w:rsidRDefault="002E104C" w:rsidP="002E104C">
      <w:pPr>
        <w:keepNext/>
        <w:keepLines/>
        <w:spacing w:after="13" w:line="259" w:lineRule="auto"/>
        <w:ind w:left="43"/>
        <w:jc w:val="center"/>
        <w:outlineLvl w:val="0"/>
        <w:rPr>
          <w:rFonts w:ascii="Times New Roman" w:eastAsia="Times New Roman" w:hAnsi="Times New Roman" w:cs="Times New Roman"/>
          <w:color w:val="000000"/>
          <w:u w:val="single" w:color="000000"/>
        </w:rPr>
      </w:pPr>
      <w:r w:rsidRPr="002E104C">
        <w:rPr>
          <w:rFonts w:ascii="Times New Roman" w:eastAsia="Times New Roman" w:hAnsi="Times New Roman" w:cs="Times New Roman"/>
          <w:color w:val="000000"/>
          <w:sz w:val="26"/>
          <w:u w:color="000000"/>
        </w:rPr>
        <w:t>TURBIDITY</w:t>
      </w:r>
    </w:p>
    <w:p w14:paraId="4BC08E3A" w14:textId="1BB79EA3" w:rsidR="002E104C" w:rsidRPr="002E104C" w:rsidRDefault="002E104C" w:rsidP="002E104C">
      <w:pPr>
        <w:tabs>
          <w:tab w:val="center" w:pos="4813"/>
          <w:tab w:val="center" w:pos="5930"/>
          <w:tab w:val="center" w:pos="7553"/>
        </w:tabs>
        <w:spacing w:after="31" w:line="259" w:lineRule="auto"/>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rPr>
        <w:tab/>
      </w:r>
      <w:r w:rsidRPr="002E104C">
        <w:rPr>
          <w:rFonts w:ascii="Times New Roman" w:eastAsia="Times New Roman" w:hAnsi="Times New Roman" w:cs="Times New Roman"/>
          <w:color w:val="000000"/>
          <w:sz w:val="20"/>
          <w:u w:val="single" w:color="000000"/>
        </w:rPr>
        <w:t>Highest</w:t>
      </w:r>
      <w:r w:rsidRPr="002E104C">
        <w:rPr>
          <w:rFonts w:ascii="Times New Roman" w:eastAsia="Times New Roman" w:hAnsi="Times New Roman" w:cs="Times New Roman"/>
          <w:color w:val="000000"/>
          <w:sz w:val="20"/>
        </w:rPr>
        <w:t xml:space="preserve"> </w:t>
      </w:r>
      <w:r w:rsidRPr="002E104C">
        <w:rPr>
          <w:rFonts w:ascii="Times New Roman" w:eastAsia="Times New Roman" w:hAnsi="Times New Roman" w:cs="Times New Roman"/>
          <w:color w:val="000000"/>
          <w:sz w:val="20"/>
        </w:rPr>
        <w:tab/>
      </w:r>
      <w:r w:rsidRPr="002E104C">
        <w:rPr>
          <w:rFonts w:ascii="Times New Roman" w:eastAsia="Times New Roman" w:hAnsi="Times New Roman" w:cs="Times New Roman"/>
          <w:color w:val="000000"/>
          <w:sz w:val="20"/>
          <w:u w:val="single" w:color="000000"/>
        </w:rPr>
        <w:t>Viola</w:t>
      </w:r>
      <w:r w:rsidR="000C59E0">
        <w:rPr>
          <w:rFonts w:ascii="Times New Roman" w:eastAsia="Times New Roman" w:hAnsi="Times New Roman" w:cs="Times New Roman"/>
          <w:color w:val="000000"/>
          <w:sz w:val="20"/>
          <w:u w:val="single" w:color="000000"/>
        </w:rPr>
        <w:t>tion</w:t>
      </w:r>
      <w:r w:rsidRPr="002E104C">
        <w:rPr>
          <w:rFonts w:ascii="Times New Roman" w:eastAsia="Times New Roman" w:hAnsi="Times New Roman" w:cs="Times New Roman"/>
          <w:color w:val="000000"/>
          <w:sz w:val="20"/>
          <w:u w:val="single" w:color="000000"/>
        </w:rPr>
        <w:tab/>
        <w:t>Lowest % of S</w:t>
      </w:r>
      <w:r>
        <w:rPr>
          <w:rFonts w:ascii="Times New Roman" w:eastAsia="Times New Roman" w:hAnsi="Times New Roman" w:cs="Times New Roman"/>
          <w:color w:val="000000"/>
          <w:sz w:val="20"/>
          <w:u w:val="single" w:color="000000"/>
        </w:rPr>
        <w:t>a</w:t>
      </w:r>
      <w:r w:rsidRPr="002E104C">
        <w:rPr>
          <w:rFonts w:ascii="Times New Roman" w:eastAsia="Times New Roman" w:hAnsi="Times New Roman" w:cs="Times New Roman"/>
          <w:color w:val="000000"/>
          <w:sz w:val="20"/>
          <w:u w:val="single" w:color="000000"/>
        </w:rPr>
        <w:t>mples</w:t>
      </w:r>
    </w:p>
    <w:p w14:paraId="351D136C" w14:textId="77777777" w:rsidR="002E104C" w:rsidRPr="002E104C" w:rsidRDefault="002E104C" w:rsidP="002E104C">
      <w:pPr>
        <w:keepNext/>
        <w:keepLines/>
        <w:tabs>
          <w:tab w:val="center" w:pos="1490"/>
          <w:tab w:val="center" w:pos="3825"/>
          <w:tab w:val="center" w:pos="5387"/>
          <w:tab w:val="center" w:pos="7546"/>
          <w:tab w:val="right" w:pos="10495"/>
        </w:tabs>
        <w:spacing w:after="80" w:line="265" w:lineRule="auto"/>
        <w:ind w:left="-15"/>
        <w:outlineLvl w:val="1"/>
        <w:rPr>
          <w:rFonts w:ascii="Times New Roman" w:eastAsia="Times New Roman" w:hAnsi="Times New Roman" w:cs="Times New Roman"/>
          <w:color w:val="000000"/>
          <w:u w:val="single" w:color="000000"/>
        </w:rPr>
      </w:pPr>
      <w:r w:rsidRPr="002E104C">
        <w:rPr>
          <w:rFonts w:ascii="Times New Roman" w:eastAsia="Times New Roman" w:hAnsi="Times New Roman" w:cs="Times New Roman"/>
          <w:color w:val="000000"/>
          <w:u w:val="single" w:color="000000"/>
        </w:rPr>
        <w:t>Substance</w:t>
      </w:r>
      <w:r w:rsidRPr="002E104C">
        <w:rPr>
          <w:rFonts w:ascii="Times New Roman" w:eastAsia="Times New Roman" w:hAnsi="Times New Roman" w:cs="Times New Roman"/>
          <w:color w:val="000000"/>
          <w:u w:val="single" w:color="000000"/>
        </w:rPr>
        <w:tab/>
        <w:t>Units</w:t>
      </w:r>
      <w:r w:rsidRPr="002E104C">
        <w:rPr>
          <w:rFonts w:ascii="Times New Roman" w:eastAsia="Times New Roman" w:hAnsi="Times New Roman" w:cs="Times New Roman"/>
          <w:color w:val="000000"/>
          <w:u w:val="single" w:color="000000"/>
        </w:rPr>
        <w:tab/>
        <w:t>MCLG</w:t>
      </w:r>
      <w:r w:rsidRPr="002E104C">
        <w:rPr>
          <w:rFonts w:ascii="Times New Roman" w:eastAsia="Times New Roman" w:hAnsi="Times New Roman" w:cs="Times New Roman"/>
          <w:color w:val="000000"/>
          <w:u w:val="single" w:color="000000"/>
        </w:rPr>
        <w:tab/>
        <w:t>Reported</w:t>
      </w:r>
      <w:r w:rsidRPr="002E104C">
        <w:rPr>
          <w:rFonts w:ascii="Times New Roman" w:eastAsia="Times New Roman" w:hAnsi="Times New Roman" w:cs="Times New Roman"/>
          <w:color w:val="000000"/>
          <w:u w:color="000000"/>
        </w:rPr>
        <w:t xml:space="preserve"> </w:t>
      </w:r>
      <w:r w:rsidRPr="002E104C">
        <w:rPr>
          <w:rFonts w:ascii="Times New Roman" w:eastAsia="Times New Roman" w:hAnsi="Times New Roman" w:cs="Times New Roman"/>
          <w:color w:val="000000"/>
          <w:u w:val="single" w:color="000000"/>
        </w:rPr>
        <w:t>(YES/NO)</w:t>
      </w:r>
      <w:r w:rsidRPr="002E104C">
        <w:rPr>
          <w:rFonts w:ascii="Times New Roman" w:eastAsia="Times New Roman" w:hAnsi="Times New Roman" w:cs="Times New Roman"/>
          <w:color w:val="000000"/>
          <w:u w:val="single" w:color="000000"/>
        </w:rPr>
        <w:tab/>
        <w:t>Meeting Limits</w:t>
      </w:r>
      <w:r w:rsidRPr="002E104C">
        <w:rPr>
          <w:rFonts w:ascii="Times New Roman" w:eastAsia="Times New Roman" w:hAnsi="Times New Roman" w:cs="Times New Roman"/>
          <w:color w:val="000000"/>
          <w:u w:val="single" w:color="000000"/>
        </w:rPr>
        <w:tab/>
        <w:t>Source Of Substance</w:t>
      </w:r>
    </w:p>
    <w:p w14:paraId="377EF399" w14:textId="77777777" w:rsidR="002E104C" w:rsidRPr="002E104C" w:rsidRDefault="002E104C" w:rsidP="002E104C">
      <w:pPr>
        <w:spacing w:after="160" w:line="259" w:lineRule="auto"/>
        <w:rPr>
          <w:rFonts w:ascii="Times New Roman" w:eastAsia="Times New Roman" w:hAnsi="Times New Roman" w:cs="Times New Roman"/>
          <w:color w:val="000000"/>
        </w:rPr>
        <w:sectPr w:rsidR="002E104C" w:rsidRPr="002E104C">
          <w:type w:val="continuous"/>
          <w:pgSz w:w="12240" w:h="15840"/>
          <w:pgMar w:top="939" w:right="891" w:bottom="1440" w:left="855" w:header="720" w:footer="720" w:gutter="0"/>
          <w:cols w:space="720"/>
        </w:sectPr>
      </w:pPr>
    </w:p>
    <w:p w14:paraId="1C53F480" w14:textId="77777777" w:rsidR="002E104C" w:rsidRPr="002E104C" w:rsidRDefault="002E104C" w:rsidP="002E104C">
      <w:pPr>
        <w:tabs>
          <w:tab w:val="center" w:pos="1494"/>
          <w:tab w:val="center" w:pos="2299"/>
          <w:tab w:val="center" w:pos="3150"/>
          <w:tab w:val="center" w:pos="3821"/>
          <w:tab w:val="center" w:pos="4816"/>
          <w:tab w:val="center" w:pos="5930"/>
          <w:tab w:val="center" w:pos="7567"/>
          <w:tab w:val="right" w:pos="9647"/>
        </w:tabs>
        <w:spacing w:after="41" w:line="259" w:lineRule="auto"/>
        <w:ind w:left="-1"/>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u w:val="single" w:color="000000"/>
        </w:rPr>
        <w:lastRenderedPageBreak/>
        <w:t>Turbidity</w:t>
      </w:r>
      <w:r w:rsidRPr="002E104C">
        <w:rPr>
          <w:rFonts w:ascii="Times New Roman" w:eastAsia="Times New Roman" w:hAnsi="Times New Roman" w:cs="Times New Roman"/>
          <w:color w:val="000000"/>
          <w:sz w:val="20"/>
          <w:u w:val="single" w:color="000000"/>
        </w:rPr>
        <w:tab/>
      </w:r>
      <w:r w:rsidRPr="002E104C">
        <w:rPr>
          <w:rFonts w:ascii="Times New Roman" w:eastAsia="Times New Roman" w:hAnsi="Times New Roman" w:cs="Times New Roman"/>
          <w:color w:val="000000"/>
          <w:sz w:val="20"/>
        </w:rPr>
        <w:t>NTU</w:t>
      </w:r>
      <w:r w:rsidRPr="002E104C">
        <w:rPr>
          <w:rFonts w:ascii="Times New Roman" w:eastAsia="Times New Roman" w:hAnsi="Times New Roman" w:cs="Times New Roman"/>
          <w:color w:val="000000"/>
          <w:sz w:val="20"/>
        </w:rPr>
        <w:tab/>
        <w:t xml:space="preserve">&lt;0.3 in </w:t>
      </w:r>
      <w:r w:rsidRPr="002E104C">
        <w:rPr>
          <w:rFonts w:ascii="Times New Roman" w:eastAsia="Times New Roman" w:hAnsi="Times New Roman" w:cs="Times New Roman"/>
          <w:color w:val="000000"/>
          <w:sz w:val="20"/>
        </w:rPr>
        <w:tab/>
        <w:t>of</w:t>
      </w:r>
      <w:r w:rsidRPr="002E104C">
        <w:rPr>
          <w:rFonts w:ascii="Times New Roman" w:eastAsia="Times New Roman" w:hAnsi="Times New Roman" w:cs="Times New Roman"/>
          <w:color w:val="000000"/>
          <w:sz w:val="20"/>
        </w:rPr>
        <w:tab/>
        <w:t>N/A</w:t>
      </w:r>
      <w:r w:rsidRPr="002E104C">
        <w:rPr>
          <w:rFonts w:ascii="Times New Roman" w:eastAsia="Times New Roman" w:hAnsi="Times New Roman" w:cs="Times New Roman"/>
          <w:color w:val="000000"/>
          <w:sz w:val="20"/>
        </w:rPr>
        <w:tab/>
        <w:t>0.10</w:t>
      </w:r>
      <w:r w:rsidRPr="002E104C">
        <w:rPr>
          <w:rFonts w:ascii="Times New Roman" w:eastAsia="Times New Roman" w:hAnsi="Times New Roman" w:cs="Times New Roman"/>
          <w:color w:val="000000"/>
          <w:sz w:val="20"/>
        </w:rPr>
        <w:tab/>
        <w:t>NO</w:t>
      </w:r>
      <w:r w:rsidRPr="002E104C">
        <w:rPr>
          <w:rFonts w:ascii="Times New Roman" w:eastAsia="Times New Roman" w:hAnsi="Times New Roman" w:cs="Times New Roman"/>
          <w:color w:val="000000"/>
          <w:sz w:val="20"/>
        </w:rPr>
        <w:tab/>
        <w:t>100%</w:t>
      </w:r>
      <w:r w:rsidRPr="002E104C">
        <w:rPr>
          <w:rFonts w:ascii="Times New Roman" w:eastAsia="Times New Roman" w:hAnsi="Times New Roman" w:cs="Times New Roman"/>
          <w:color w:val="000000"/>
          <w:sz w:val="20"/>
        </w:rPr>
        <w:tab/>
        <w:t>Soil Runoff</w:t>
      </w:r>
    </w:p>
    <w:p w14:paraId="2CCF9DCC" w14:textId="77777777" w:rsidR="002E104C" w:rsidRDefault="002E104C" w:rsidP="002E104C">
      <w:pPr>
        <w:spacing w:after="160" w:line="259" w:lineRule="auto"/>
        <w:rPr>
          <w:rFonts w:ascii="Times New Roman" w:eastAsia="Times New Roman" w:hAnsi="Times New Roman" w:cs="Times New Roman"/>
          <w:color w:val="000000"/>
        </w:rPr>
      </w:pPr>
    </w:p>
    <w:p w14:paraId="02ECF52A" w14:textId="77777777" w:rsidR="003B60BB" w:rsidRDefault="003B60BB" w:rsidP="002E104C">
      <w:pPr>
        <w:spacing w:after="160" w:line="259" w:lineRule="auto"/>
        <w:rPr>
          <w:rFonts w:ascii="Times New Roman" w:eastAsia="Times New Roman" w:hAnsi="Times New Roman" w:cs="Times New Roman"/>
          <w:color w:val="000000"/>
        </w:rPr>
      </w:pPr>
    </w:p>
    <w:p w14:paraId="486BFB18" w14:textId="77777777" w:rsidR="003B60BB" w:rsidRDefault="003B60BB" w:rsidP="002E104C">
      <w:pPr>
        <w:spacing w:after="160" w:line="259" w:lineRule="auto"/>
        <w:rPr>
          <w:rFonts w:ascii="Times New Roman" w:eastAsia="Times New Roman" w:hAnsi="Times New Roman" w:cs="Times New Roman"/>
          <w:color w:val="000000"/>
        </w:rPr>
      </w:pPr>
    </w:p>
    <w:tbl>
      <w:tblPr>
        <w:tblW w:w="11000" w:type="dxa"/>
        <w:tblLook w:val="04A0" w:firstRow="1" w:lastRow="0" w:firstColumn="1" w:lastColumn="0" w:noHBand="0" w:noVBand="1"/>
      </w:tblPr>
      <w:tblGrid>
        <w:gridCol w:w="1652"/>
        <w:gridCol w:w="1238"/>
        <w:gridCol w:w="1097"/>
        <w:gridCol w:w="1112"/>
        <w:gridCol w:w="1260"/>
        <w:gridCol w:w="989"/>
        <w:gridCol w:w="3185"/>
        <w:gridCol w:w="1019"/>
      </w:tblGrid>
      <w:tr w:rsidR="003B60BB" w:rsidRPr="003B60BB" w14:paraId="183368B0" w14:textId="77777777" w:rsidTr="003B60BB">
        <w:trPr>
          <w:trHeight w:val="420"/>
        </w:trPr>
        <w:tc>
          <w:tcPr>
            <w:tcW w:w="11000" w:type="dxa"/>
            <w:gridSpan w:val="8"/>
            <w:tcBorders>
              <w:top w:val="nil"/>
              <w:left w:val="nil"/>
              <w:bottom w:val="nil"/>
              <w:right w:val="nil"/>
            </w:tcBorders>
            <w:shd w:val="clear" w:color="auto" w:fill="auto"/>
            <w:noWrap/>
            <w:vAlign w:val="center"/>
            <w:hideMark/>
          </w:tcPr>
          <w:p w14:paraId="259675D6" w14:textId="77777777" w:rsidR="003B60BB" w:rsidRPr="003B60BB" w:rsidRDefault="003B60BB" w:rsidP="003B60BB">
            <w:pPr>
              <w:spacing w:after="0" w:line="240" w:lineRule="auto"/>
              <w:jc w:val="center"/>
              <w:rPr>
                <w:rFonts w:ascii="Calibri" w:eastAsia="Times New Roman" w:hAnsi="Calibri" w:cs="Calibri"/>
                <w:color w:val="16365C"/>
                <w:sz w:val="32"/>
                <w:szCs w:val="32"/>
              </w:rPr>
            </w:pPr>
            <w:r w:rsidRPr="003B60BB">
              <w:rPr>
                <w:rFonts w:ascii="Calibri" w:eastAsia="Times New Roman" w:hAnsi="Calibri" w:cs="Calibri"/>
                <w:color w:val="16365C"/>
                <w:sz w:val="32"/>
                <w:szCs w:val="32"/>
              </w:rPr>
              <w:t>Gwinnett County Drinking Water Quality Data 2017</w:t>
            </w:r>
          </w:p>
        </w:tc>
      </w:tr>
      <w:tr w:rsidR="003B60BB" w:rsidRPr="003B60BB" w14:paraId="747D9278" w14:textId="77777777" w:rsidTr="003B60BB">
        <w:trPr>
          <w:trHeight w:val="300"/>
        </w:trPr>
        <w:tc>
          <w:tcPr>
            <w:tcW w:w="1540" w:type="dxa"/>
            <w:tcBorders>
              <w:top w:val="nil"/>
              <w:left w:val="nil"/>
              <w:bottom w:val="nil"/>
              <w:right w:val="nil"/>
            </w:tcBorders>
            <w:shd w:val="clear" w:color="auto" w:fill="auto"/>
            <w:noWrap/>
            <w:vAlign w:val="center"/>
            <w:hideMark/>
          </w:tcPr>
          <w:p w14:paraId="0743E888" w14:textId="77777777" w:rsidR="003B60BB" w:rsidRPr="003B60BB" w:rsidRDefault="003B60BB" w:rsidP="003B60BB">
            <w:pPr>
              <w:spacing w:after="0" w:line="240" w:lineRule="auto"/>
              <w:jc w:val="center"/>
              <w:rPr>
                <w:rFonts w:ascii="Calibri" w:eastAsia="Times New Roman" w:hAnsi="Calibri" w:cs="Calibri"/>
                <w:color w:val="16365C"/>
                <w:sz w:val="32"/>
                <w:szCs w:val="32"/>
              </w:rPr>
            </w:pPr>
          </w:p>
        </w:tc>
        <w:tc>
          <w:tcPr>
            <w:tcW w:w="1080" w:type="dxa"/>
            <w:tcBorders>
              <w:top w:val="nil"/>
              <w:left w:val="nil"/>
              <w:bottom w:val="nil"/>
              <w:right w:val="nil"/>
            </w:tcBorders>
            <w:shd w:val="clear" w:color="auto" w:fill="auto"/>
            <w:noWrap/>
            <w:vAlign w:val="center"/>
            <w:hideMark/>
          </w:tcPr>
          <w:p w14:paraId="533C4C8C"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center"/>
            <w:hideMark/>
          </w:tcPr>
          <w:p w14:paraId="4B5177F7"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26" w:type="dxa"/>
            <w:tcBorders>
              <w:top w:val="nil"/>
              <w:left w:val="nil"/>
              <w:bottom w:val="nil"/>
              <w:right w:val="nil"/>
            </w:tcBorders>
            <w:shd w:val="clear" w:color="auto" w:fill="auto"/>
            <w:vAlign w:val="center"/>
            <w:hideMark/>
          </w:tcPr>
          <w:p w14:paraId="0F742828"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center"/>
            <w:hideMark/>
          </w:tcPr>
          <w:p w14:paraId="76354FCF"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center"/>
            <w:hideMark/>
          </w:tcPr>
          <w:p w14:paraId="7643AAC3"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3185" w:type="dxa"/>
            <w:tcBorders>
              <w:top w:val="nil"/>
              <w:left w:val="nil"/>
              <w:bottom w:val="nil"/>
              <w:right w:val="nil"/>
            </w:tcBorders>
            <w:shd w:val="clear" w:color="auto" w:fill="auto"/>
            <w:noWrap/>
            <w:vAlign w:val="center"/>
            <w:hideMark/>
          </w:tcPr>
          <w:p w14:paraId="1CFAF0B4"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61F0F897"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r>
      <w:tr w:rsidR="003B60BB" w:rsidRPr="003B60BB" w14:paraId="23B4E709" w14:textId="77777777" w:rsidTr="003B60BB">
        <w:trPr>
          <w:trHeight w:val="300"/>
        </w:trPr>
        <w:tc>
          <w:tcPr>
            <w:tcW w:w="11000" w:type="dxa"/>
            <w:gridSpan w:val="8"/>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068E8BA" w14:textId="77777777" w:rsidR="003B60BB" w:rsidRPr="003B60BB" w:rsidRDefault="003B60BB" w:rsidP="003B60BB">
            <w:pPr>
              <w:spacing w:after="0" w:line="240" w:lineRule="auto"/>
              <w:jc w:val="center"/>
              <w:rPr>
                <w:rFonts w:ascii="Calibri" w:eastAsia="Times New Roman" w:hAnsi="Calibri" w:cs="Calibri"/>
                <w:b/>
                <w:bCs/>
              </w:rPr>
            </w:pPr>
            <w:r w:rsidRPr="003B60BB">
              <w:rPr>
                <w:rFonts w:ascii="Calibri" w:eastAsia="Times New Roman" w:hAnsi="Calibri" w:cs="Calibri"/>
                <w:b/>
                <w:bCs/>
              </w:rPr>
              <w:t>EPA Regulated Inorganic Substances or Contaminants</w:t>
            </w:r>
          </w:p>
        </w:tc>
      </w:tr>
      <w:tr w:rsidR="003B60BB" w:rsidRPr="003B60BB" w14:paraId="117C102F" w14:textId="77777777" w:rsidTr="003B60BB">
        <w:trPr>
          <w:trHeight w:val="900"/>
        </w:trPr>
        <w:tc>
          <w:tcPr>
            <w:tcW w:w="1540" w:type="dxa"/>
            <w:tcBorders>
              <w:top w:val="nil"/>
              <w:left w:val="single" w:sz="4" w:space="0" w:color="auto"/>
              <w:bottom w:val="single" w:sz="4" w:space="0" w:color="auto"/>
              <w:right w:val="single" w:sz="4" w:space="0" w:color="auto"/>
            </w:tcBorders>
            <w:shd w:val="clear" w:color="000000" w:fill="DCE6F1"/>
            <w:vAlign w:val="center"/>
            <w:hideMark/>
          </w:tcPr>
          <w:p w14:paraId="6E101856"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Substance (Unit)</w:t>
            </w:r>
          </w:p>
        </w:tc>
        <w:tc>
          <w:tcPr>
            <w:tcW w:w="1080" w:type="dxa"/>
            <w:tcBorders>
              <w:top w:val="nil"/>
              <w:left w:val="nil"/>
              <w:bottom w:val="single" w:sz="4" w:space="0" w:color="auto"/>
              <w:right w:val="single" w:sz="4" w:space="0" w:color="auto"/>
            </w:tcBorders>
            <w:shd w:val="clear" w:color="000000" w:fill="DCE6F1"/>
            <w:vAlign w:val="center"/>
            <w:hideMark/>
          </w:tcPr>
          <w:p w14:paraId="7A8293CC"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 xml:space="preserve">Analysis Frequency </w:t>
            </w:r>
          </w:p>
        </w:tc>
        <w:tc>
          <w:tcPr>
            <w:tcW w:w="1060" w:type="dxa"/>
            <w:tcBorders>
              <w:top w:val="nil"/>
              <w:left w:val="nil"/>
              <w:bottom w:val="single" w:sz="4" w:space="0" w:color="auto"/>
              <w:right w:val="single" w:sz="4" w:space="0" w:color="auto"/>
            </w:tcBorders>
            <w:shd w:val="clear" w:color="000000" w:fill="DCE6F1"/>
            <w:vAlign w:val="center"/>
            <w:hideMark/>
          </w:tcPr>
          <w:p w14:paraId="7E6D0359"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MCL</w:t>
            </w:r>
          </w:p>
        </w:tc>
        <w:tc>
          <w:tcPr>
            <w:tcW w:w="926" w:type="dxa"/>
            <w:tcBorders>
              <w:top w:val="nil"/>
              <w:left w:val="nil"/>
              <w:bottom w:val="single" w:sz="4" w:space="0" w:color="auto"/>
              <w:right w:val="single" w:sz="4" w:space="0" w:color="auto"/>
            </w:tcBorders>
            <w:shd w:val="clear" w:color="000000" w:fill="DCE6F1"/>
            <w:vAlign w:val="center"/>
            <w:hideMark/>
          </w:tcPr>
          <w:p w14:paraId="3726727B"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MCLG</w:t>
            </w:r>
          </w:p>
        </w:tc>
        <w:tc>
          <w:tcPr>
            <w:tcW w:w="1260" w:type="dxa"/>
            <w:tcBorders>
              <w:top w:val="nil"/>
              <w:left w:val="nil"/>
              <w:bottom w:val="single" w:sz="4" w:space="0" w:color="auto"/>
              <w:right w:val="single" w:sz="4" w:space="0" w:color="auto"/>
            </w:tcBorders>
            <w:shd w:val="clear" w:color="000000" w:fill="DCE6F1"/>
            <w:vAlign w:val="center"/>
            <w:hideMark/>
          </w:tcPr>
          <w:p w14:paraId="5902A9FB"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Average</w:t>
            </w:r>
          </w:p>
        </w:tc>
        <w:tc>
          <w:tcPr>
            <w:tcW w:w="989" w:type="dxa"/>
            <w:tcBorders>
              <w:top w:val="nil"/>
              <w:left w:val="nil"/>
              <w:bottom w:val="single" w:sz="4" w:space="0" w:color="auto"/>
              <w:right w:val="single" w:sz="4" w:space="0" w:color="auto"/>
            </w:tcBorders>
            <w:shd w:val="clear" w:color="000000" w:fill="DCE6F1"/>
            <w:vAlign w:val="center"/>
            <w:hideMark/>
          </w:tcPr>
          <w:p w14:paraId="563FDF18"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Range</w:t>
            </w:r>
          </w:p>
        </w:tc>
        <w:tc>
          <w:tcPr>
            <w:tcW w:w="3185" w:type="dxa"/>
            <w:tcBorders>
              <w:top w:val="nil"/>
              <w:left w:val="nil"/>
              <w:bottom w:val="single" w:sz="4" w:space="0" w:color="auto"/>
              <w:right w:val="single" w:sz="4" w:space="0" w:color="auto"/>
            </w:tcBorders>
            <w:shd w:val="clear" w:color="000000" w:fill="DCE6F1"/>
            <w:vAlign w:val="center"/>
            <w:hideMark/>
          </w:tcPr>
          <w:p w14:paraId="6B5E7E8C"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Major Sources</w:t>
            </w:r>
          </w:p>
        </w:tc>
        <w:tc>
          <w:tcPr>
            <w:tcW w:w="960" w:type="dxa"/>
            <w:tcBorders>
              <w:top w:val="nil"/>
              <w:left w:val="nil"/>
              <w:bottom w:val="single" w:sz="4" w:space="0" w:color="auto"/>
              <w:right w:val="single" w:sz="4" w:space="0" w:color="auto"/>
            </w:tcBorders>
            <w:shd w:val="clear" w:color="000000" w:fill="DCE6F1"/>
            <w:vAlign w:val="center"/>
            <w:hideMark/>
          </w:tcPr>
          <w:p w14:paraId="2329B11B"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Violation</w:t>
            </w:r>
          </w:p>
        </w:tc>
      </w:tr>
      <w:tr w:rsidR="003B60BB" w:rsidRPr="003B60BB" w14:paraId="2684350B" w14:textId="77777777" w:rsidTr="003B60BB">
        <w:trPr>
          <w:trHeight w:val="10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F859777"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Fluoride</w:t>
            </w:r>
            <w:r w:rsidRPr="003B60BB">
              <w:rPr>
                <w:rFonts w:ascii="Calibri" w:eastAsia="Times New Roman" w:hAnsi="Calibri" w:cs="Calibri"/>
                <w:color w:val="000000"/>
                <w:sz w:val="20"/>
                <w:szCs w:val="20"/>
                <w:vertAlign w:val="superscript"/>
              </w:rPr>
              <w:t>1</w:t>
            </w:r>
            <w:r w:rsidRPr="003B60BB">
              <w:rPr>
                <w:rFonts w:ascii="Calibri" w:eastAsia="Times New Roman" w:hAnsi="Calibri" w:cs="Calibri"/>
                <w:color w:val="000000"/>
              </w:rPr>
              <w:t xml:space="preserve">           </w:t>
            </w:r>
            <w:r w:rsidRPr="003B60BB">
              <w:rPr>
                <w:rFonts w:ascii="Calibri" w:eastAsia="Times New Roman" w:hAnsi="Calibri" w:cs="Calibri"/>
                <w:color w:val="000000"/>
                <w:sz w:val="20"/>
                <w:szCs w:val="20"/>
              </w:rPr>
              <w:t>(ppm)</w:t>
            </w:r>
          </w:p>
        </w:tc>
        <w:tc>
          <w:tcPr>
            <w:tcW w:w="1080" w:type="dxa"/>
            <w:tcBorders>
              <w:top w:val="nil"/>
              <w:left w:val="nil"/>
              <w:bottom w:val="single" w:sz="4" w:space="0" w:color="auto"/>
              <w:right w:val="single" w:sz="4" w:space="0" w:color="auto"/>
            </w:tcBorders>
            <w:shd w:val="clear" w:color="auto" w:fill="auto"/>
            <w:noWrap/>
            <w:vAlign w:val="center"/>
            <w:hideMark/>
          </w:tcPr>
          <w:p w14:paraId="23109982"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Daily</w:t>
            </w:r>
          </w:p>
        </w:tc>
        <w:tc>
          <w:tcPr>
            <w:tcW w:w="1060" w:type="dxa"/>
            <w:tcBorders>
              <w:top w:val="nil"/>
              <w:left w:val="nil"/>
              <w:bottom w:val="single" w:sz="4" w:space="0" w:color="auto"/>
              <w:right w:val="single" w:sz="4" w:space="0" w:color="auto"/>
            </w:tcBorders>
            <w:shd w:val="clear" w:color="auto" w:fill="auto"/>
            <w:noWrap/>
            <w:vAlign w:val="center"/>
            <w:hideMark/>
          </w:tcPr>
          <w:p w14:paraId="4EDDCB92"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4</w:t>
            </w:r>
          </w:p>
        </w:tc>
        <w:tc>
          <w:tcPr>
            <w:tcW w:w="926" w:type="dxa"/>
            <w:tcBorders>
              <w:top w:val="nil"/>
              <w:left w:val="nil"/>
              <w:bottom w:val="single" w:sz="4" w:space="0" w:color="auto"/>
              <w:right w:val="single" w:sz="4" w:space="0" w:color="auto"/>
            </w:tcBorders>
            <w:shd w:val="clear" w:color="auto" w:fill="auto"/>
            <w:vAlign w:val="center"/>
            <w:hideMark/>
          </w:tcPr>
          <w:p w14:paraId="2DD7747C"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4</w:t>
            </w:r>
          </w:p>
        </w:tc>
        <w:tc>
          <w:tcPr>
            <w:tcW w:w="1260" w:type="dxa"/>
            <w:tcBorders>
              <w:top w:val="nil"/>
              <w:left w:val="nil"/>
              <w:bottom w:val="single" w:sz="4" w:space="0" w:color="auto"/>
              <w:right w:val="single" w:sz="4" w:space="0" w:color="auto"/>
            </w:tcBorders>
            <w:shd w:val="clear" w:color="auto" w:fill="auto"/>
            <w:noWrap/>
            <w:vAlign w:val="center"/>
            <w:hideMark/>
          </w:tcPr>
          <w:p w14:paraId="3D9C87B9"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0.75</w:t>
            </w:r>
          </w:p>
        </w:tc>
        <w:tc>
          <w:tcPr>
            <w:tcW w:w="989" w:type="dxa"/>
            <w:tcBorders>
              <w:top w:val="nil"/>
              <w:left w:val="nil"/>
              <w:bottom w:val="single" w:sz="4" w:space="0" w:color="auto"/>
              <w:right w:val="single" w:sz="4" w:space="0" w:color="auto"/>
            </w:tcBorders>
            <w:shd w:val="clear" w:color="auto" w:fill="auto"/>
            <w:noWrap/>
            <w:vAlign w:val="center"/>
            <w:hideMark/>
          </w:tcPr>
          <w:p w14:paraId="390F9368"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0.63-0.85</w:t>
            </w:r>
          </w:p>
        </w:tc>
        <w:tc>
          <w:tcPr>
            <w:tcW w:w="3185" w:type="dxa"/>
            <w:tcBorders>
              <w:top w:val="nil"/>
              <w:left w:val="nil"/>
              <w:bottom w:val="single" w:sz="4" w:space="0" w:color="auto"/>
              <w:right w:val="single" w:sz="4" w:space="0" w:color="auto"/>
            </w:tcBorders>
            <w:shd w:val="clear" w:color="auto" w:fill="auto"/>
            <w:vAlign w:val="center"/>
            <w:hideMark/>
          </w:tcPr>
          <w:p w14:paraId="2596D666"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Erosion of natural deposits; water additive which promotes strong teeth</w:t>
            </w:r>
          </w:p>
        </w:tc>
        <w:tc>
          <w:tcPr>
            <w:tcW w:w="960" w:type="dxa"/>
            <w:tcBorders>
              <w:top w:val="nil"/>
              <w:left w:val="nil"/>
              <w:bottom w:val="single" w:sz="4" w:space="0" w:color="auto"/>
              <w:right w:val="single" w:sz="4" w:space="0" w:color="auto"/>
            </w:tcBorders>
            <w:shd w:val="clear" w:color="auto" w:fill="auto"/>
            <w:noWrap/>
            <w:vAlign w:val="center"/>
            <w:hideMark/>
          </w:tcPr>
          <w:p w14:paraId="26ABC3D3"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No</w:t>
            </w:r>
          </w:p>
        </w:tc>
      </w:tr>
      <w:tr w:rsidR="003B60BB" w:rsidRPr="003B60BB" w14:paraId="79274448" w14:textId="77777777" w:rsidTr="003B60BB">
        <w:trPr>
          <w:trHeight w:val="900"/>
        </w:trPr>
        <w:tc>
          <w:tcPr>
            <w:tcW w:w="1540" w:type="dxa"/>
            <w:tcBorders>
              <w:top w:val="nil"/>
              <w:left w:val="single" w:sz="4" w:space="0" w:color="auto"/>
              <w:bottom w:val="nil"/>
              <w:right w:val="single" w:sz="4" w:space="0" w:color="auto"/>
            </w:tcBorders>
            <w:shd w:val="clear" w:color="auto" w:fill="auto"/>
            <w:vAlign w:val="center"/>
            <w:hideMark/>
          </w:tcPr>
          <w:p w14:paraId="38F3B419"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Nitrate/Nitrite</w:t>
            </w:r>
            <w:r w:rsidRPr="003B60BB">
              <w:rPr>
                <w:rFonts w:ascii="Calibri" w:eastAsia="Times New Roman" w:hAnsi="Calibri" w:cs="Calibri"/>
                <w:color w:val="000000"/>
                <w:sz w:val="20"/>
                <w:szCs w:val="20"/>
                <w:vertAlign w:val="superscript"/>
              </w:rPr>
              <w:t>2</w:t>
            </w:r>
            <w:r w:rsidRPr="003B60BB">
              <w:rPr>
                <w:rFonts w:ascii="Calibri" w:eastAsia="Times New Roman" w:hAnsi="Calibri" w:cs="Calibri"/>
                <w:color w:val="000000"/>
              </w:rPr>
              <w:t xml:space="preserve">  </w:t>
            </w:r>
            <w:r w:rsidRPr="003B60BB">
              <w:rPr>
                <w:rFonts w:ascii="Calibri" w:eastAsia="Times New Roman" w:hAnsi="Calibri" w:cs="Calibri"/>
                <w:color w:val="000000"/>
                <w:sz w:val="20"/>
                <w:szCs w:val="20"/>
              </w:rPr>
              <w:t>(ppm)</w:t>
            </w:r>
            <w:r w:rsidRPr="003B60BB">
              <w:rPr>
                <w:rFonts w:ascii="Calibri" w:eastAsia="Times New Roman" w:hAnsi="Calibri" w:cs="Calibri"/>
                <w:color w:val="000000"/>
              </w:rPr>
              <w:t xml:space="preserve">       </w:t>
            </w:r>
          </w:p>
        </w:tc>
        <w:tc>
          <w:tcPr>
            <w:tcW w:w="1080" w:type="dxa"/>
            <w:tcBorders>
              <w:top w:val="nil"/>
              <w:left w:val="nil"/>
              <w:bottom w:val="nil"/>
              <w:right w:val="single" w:sz="4" w:space="0" w:color="auto"/>
            </w:tcBorders>
            <w:shd w:val="clear" w:color="auto" w:fill="auto"/>
            <w:noWrap/>
            <w:vAlign w:val="center"/>
            <w:hideMark/>
          </w:tcPr>
          <w:p w14:paraId="7850F965"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Annually</w:t>
            </w:r>
          </w:p>
        </w:tc>
        <w:tc>
          <w:tcPr>
            <w:tcW w:w="1060" w:type="dxa"/>
            <w:tcBorders>
              <w:top w:val="nil"/>
              <w:left w:val="nil"/>
              <w:bottom w:val="nil"/>
              <w:right w:val="single" w:sz="4" w:space="0" w:color="auto"/>
            </w:tcBorders>
            <w:shd w:val="clear" w:color="auto" w:fill="auto"/>
            <w:noWrap/>
            <w:vAlign w:val="center"/>
            <w:hideMark/>
          </w:tcPr>
          <w:p w14:paraId="557CA17C"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10</w:t>
            </w:r>
          </w:p>
        </w:tc>
        <w:tc>
          <w:tcPr>
            <w:tcW w:w="926" w:type="dxa"/>
            <w:tcBorders>
              <w:top w:val="nil"/>
              <w:left w:val="nil"/>
              <w:bottom w:val="nil"/>
              <w:right w:val="single" w:sz="4" w:space="0" w:color="auto"/>
            </w:tcBorders>
            <w:shd w:val="clear" w:color="auto" w:fill="auto"/>
            <w:vAlign w:val="center"/>
            <w:hideMark/>
          </w:tcPr>
          <w:p w14:paraId="294BED63"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10</w:t>
            </w:r>
          </w:p>
        </w:tc>
        <w:tc>
          <w:tcPr>
            <w:tcW w:w="1260" w:type="dxa"/>
            <w:tcBorders>
              <w:top w:val="nil"/>
              <w:left w:val="nil"/>
              <w:bottom w:val="nil"/>
              <w:right w:val="single" w:sz="4" w:space="0" w:color="auto"/>
            </w:tcBorders>
            <w:shd w:val="clear" w:color="auto" w:fill="auto"/>
            <w:noWrap/>
            <w:vAlign w:val="center"/>
            <w:hideMark/>
          </w:tcPr>
          <w:p w14:paraId="60DEB28C"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0.545</w:t>
            </w:r>
          </w:p>
        </w:tc>
        <w:tc>
          <w:tcPr>
            <w:tcW w:w="989" w:type="dxa"/>
            <w:tcBorders>
              <w:top w:val="nil"/>
              <w:left w:val="nil"/>
              <w:bottom w:val="nil"/>
              <w:right w:val="single" w:sz="4" w:space="0" w:color="auto"/>
            </w:tcBorders>
            <w:shd w:val="clear" w:color="auto" w:fill="auto"/>
            <w:noWrap/>
            <w:vAlign w:val="center"/>
            <w:hideMark/>
          </w:tcPr>
          <w:p w14:paraId="5A749EEB"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0.44-0.65</w:t>
            </w:r>
          </w:p>
        </w:tc>
        <w:tc>
          <w:tcPr>
            <w:tcW w:w="3185" w:type="dxa"/>
            <w:tcBorders>
              <w:top w:val="nil"/>
              <w:left w:val="nil"/>
              <w:bottom w:val="nil"/>
              <w:right w:val="single" w:sz="4" w:space="0" w:color="auto"/>
            </w:tcBorders>
            <w:shd w:val="clear" w:color="auto" w:fill="auto"/>
            <w:vAlign w:val="center"/>
            <w:hideMark/>
          </w:tcPr>
          <w:p w14:paraId="47017317"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 xml:space="preserve">Runoff from fertilizer use; leaching from septic </w:t>
            </w:r>
            <w:proofErr w:type="spellStart"/>
            <w:r w:rsidRPr="003B60BB">
              <w:rPr>
                <w:rFonts w:ascii="Calibri" w:eastAsia="Times New Roman" w:hAnsi="Calibri" w:cs="Calibri"/>
                <w:color w:val="000000"/>
              </w:rPr>
              <w:t>tanks;erosion</w:t>
            </w:r>
            <w:proofErr w:type="spellEnd"/>
            <w:r w:rsidRPr="003B60BB">
              <w:rPr>
                <w:rFonts w:ascii="Calibri" w:eastAsia="Times New Roman" w:hAnsi="Calibri" w:cs="Calibri"/>
                <w:color w:val="000000"/>
              </w:rPr>
              <w:t xml:space="preserve"> of natural deposits</w:t>
            </w:r>
          </w:p>
        </w:tc>
        <w:tc>
          <w:tcPr>
            <w:tcW w:w="960" w:type="dxa"/>
            <w:tcBorders>
              <w:top w:val="nil"/>
              <w:left w:val="nil"/>
              <w:bottom w:val="nil"/>
              <w:right w:val="single" w:sz="4" w:space="0" w:color="auto"/>
            </w:tcBorders>
            <w:shd w:val="clear" w:color="auto" w:fill="auto"/>
            <w:noWrap/>
            <w:vAlign w:val="center"/>
            <w:hideMark/>
          </w:tcPr>
          <w:p w14:paraId="1DA90B68"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No</w:t>
            </w:r>
          </w:p>
        </w:tc>
      </w:tr>
      <w:tr w:rsidR="003B60BB" w:rsidRPr="003B60BB" w14:paraId="54AF1690" w14:textId="77777777" w:rsidTr="003B60BB">
        <w:trPr>
          <w:trHeight w:val="330"/>
        </w:trPr>
        <w:tc>
          <w:tcPr>
            <w:tcW w:w="11000" w:type="dxa"/>
            <w:gridSpan w:val="8"/>
            <w:tcBorders>
              <w:top w:val="single" w:sz="4" w:space="0" w:color="auto"/>
              <w:left w:val="single" w:sz="4" w:space="0" w:color="auto"/>
              <w:bottom w:val="nil"/>
              <w:right w:val="single" w:sz="4" w:space="0" w:color="000000"/>
            </w:tcBorders>
            <w:shd w:val="clear" w:color="auto" w:fill="auto"/>
            <w:vAlign w:val="center"/>
            <w:hideMark/>
          </w:tcPr>
          <w:p w14:paraId="72738480" w14:textId="77777777" w:rsidR="003B60BB" w:rsidRPr="003B60BB" w:rsidRDefault="003B60BB" w:rsidP="003B60BB">
            <w:pPr>
              <w:spacing w:after="0" w:line="240" w:lineRule="auto"/>
              <w:rPr>
                <w:rFonts w:ascii="Calibri" w:eastAsia="Times New Roman" w:hAnsi="Calibri" w:cs="Calibri"/>
                <w:color w:val="000000"/>
              </w:rPr>
            </w:pPr>
            <w:r w:rsidRPr="003B60BB">
              <w:rPr>
                <w:rFonts w:ascii="Calibri" w:eastAsia="Times New Roman" w:hAnsi="Calibri" w:cs="Calibri"/>
                <w:color w:val="000000"/>
                <w:sz w:val="20"/>
                <w:szCs w:val="20"/>
                <w:vertAlign w:val="superscript"/>
              </w:rPr>
              <w:t>1</w:t>
            </w:r>
            <w:r w:rsidRPr="003B60BB">
              <w:rPr>
                <w:rFonts w:ascii="Calibri" w:eastAsia="Times New Roman" w:hAnsi="Calibri" w:cs="Calibri"/>
                <w:color w:val="000000"/>
              </w:rPr>
              <w:t xml:space="preserve"> </w:t>
            </w:r>
            <w:r w:rsidRPr="003B60BB">
              <w:rPr>
                <w:rFonts w:ascii="Calibri" w:eastAsia="Times New Roman" w:hAnsi="Calibri" w:cs="Calibri"/>
                <w:color w:val="000000"/>
                <w:sz w:val="20"/>
                <w:szCs w:val="20"/>
              </w:rPr>
              <w:t xml:space="preserve">Fluoride is added to water to help promote dental health in children. </w:t>
            </w:r>
          </w:p>
        </w:tc>
      </w:tr>
      <w:tr w:rsidR="003B60BB" w:rsidRPr="003B60BB" w14:paraId="3FB58DC9" w14:textId="77777777" w:rsidTr="003B60BB">
        <w:trPr>
          <w:trHeight w:val="300"/>
        </w:trPr>
        <w:tc>
          <w:tcPr>
            <w:tcW w:w="11000" w:type="dxa"/>
            <w:gridSpan w:val="8"/>
            <w:tcBorders>
              <w:top w:val="nil"/>
              <w:left w:val="single" w:sz="4" w:space="0" w:color="auto"/>
              <w:bottom w:val="single" w:sz="4" w:space="0" w:color="auto"/>
              <w:right w:val="single" w:sz="4" w:space="0" w:color="000000"/>
            </w:tcBorders>
            <w:shd w:val="clear" w:color="auto" w:fill="auto"/>
            <w:noWrap/>
            <w:vAlign w:val="center"/>
            <w:hideMark/>
          </w:tcPr>
          <w:p w14:paraId="5C017A16" w14:textId="77777777" w:rsidR="003B60BB" w:rsidRPr="003B60BB" w:rsidRDefault="003B60BB" w:rsidP="003B60BB">
            <w:pPr>
              <w:spacing w:after="0" w:line="240" w:lineRule="auto"/>
              <w:rPr>
                <w:rFonts w:ascii="Calibri" w:eastAsia="Times New Roman" w:hAnsi="Calibri" w:cs="Calibri"/>
                <w:color w:val="000000"/>
                <w:sz w:val="20"/>
                <w:szCs w:val="20"/>
              </w:rPr>
            </w:pPr>
            <w:r w:rsidRPr="003B60BB">
              <w:rPr>
                <w:rFonts w:ascii="Calibri" w:eastAsia="Times New Roman" w:hAnsi="Calibri" w:cs="Calibri"/>
                <w:color w:val="000000"/>
                <w:sz w:val="20"/>
                <w:szCs w:val="20"/>
                <w:vertAlign w:val="superscript"/>
              </w:rPr>
              <w:t>2</w:t>
            </w:r>
            <w:r w:rsidRPr="003B60BB">
              <w:rPr>
                <w:rFonts w:ascii="Calibri" w:eastAsia="Times New Roman" w:hAnsi="Calibri" w:cs="Calibri"/>
                <w:color w:val="000000"/>
                <w:sz w:val="20"/>
                <w:szCs w:val="20"/>
              </w:rPr>
              <w:t xml:space="preserve">Nitrate and Nitrite are measured together </w:t>
            </w:r>
          </w:p>
        </w:tc>
      </w:tr>
      <w:tr w:rsidR="003B60BB" w:rsidRPr="003B60BB" w14:paraId="08119321" w14:textId="77777777" w:rsidTr="003B60BB">
        <w:trPr>
          <w:trHeight w:val="300"/>
        </w:trPr>
        <w:tc>
          <w:tcPr>
            <w:tcW w:w="1540" w:type="dxa"/>
            <w:tcBorders>
              <w:top w:val="nil"/>
              <w:left w:val="nil"/>
              <w:bottom w:val="nil"/>
              <w:right w:val="nil"/>
            </w:tcBorders>
            <w:shd w:val="clear" w:color="auto" w:fill="auto"/>
            <w:noWrap/>
            <w:vAlign w:val="center"/>
            <w:hideMark/>
          </w:tcPr>
          <w:p w14:paraId="330D3229" w14:textId="77777777" w:rsidR="003B60BB" w:rsidRPr="003B60BB" w:rsidRDefault="003B60BB" w:rsidP="003B60BB">
            <w:pPr>
              <w:spacing w:after="0" w:line="240" w:lineRule="auto"/>
              <w:rPr>
                <w:rFonts w:ascii="Calibri" w:eastAsia="Times New Roman" w:hAnsi="Calibri" w:cs="Calibri"/>
                <w:color w:val="000000"/>
                <w:sz w:val="20"/>
                <w:szCs w:val="20"/>
              </w:rPr>
            </w:pPr>
          </w:p>
        </w:tc>
        <w:tc>
          <w:tcPr>
            <w:tcW w:w="1080" w:type="dxa"/>
            <w:tcBorders>
              <w:top w:val="nil"/>
              <w:left w:val="nil"/>
              <w:bottom w:val="nil"/>
              <w:right w:val="nil"/>
            </w:tcBorders>
            <w:shd w:val="clear" w:color="auto" w:fill="auto"/>
            <w:noWrap/>
            <w:vAlign w:val="center"/>
            <w:hideMark/>
          </w:tcPr>
          <w:p w14:paraId="1C4A1614"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center"/>
            <w:hideMark/>
          </w:tcPr>
          <w:p w14:paraId="613DC62B"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26" w:type="dxa"/>
            <w:tcBorders>
              <w:top w:val="nil"/>
              <w:left w:val="nil"/>
              <w:bottom w:val="nil"/>
              <w:right w:val="nil"/>
            </w:tcBorders>
            <w:shd w:val="clear" w:color="auto" w:fill="auto"/>
            <w:vAlign w:val="center"/>
            <w:hideMark/>
          </w:tcPr>
          <w:p w14:paraId="19E855B6"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center"/>
            <w:hideMark/>
          </w:tcPr>
          <w:p w14:paraId="012CE4CA"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center"/>
            <w:hideMark/>
          </w:tcPr>
          <w:p w14:paraId="3251B94E"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3185" w:type="dxa"/>
            <w:tcBorders>
              <w:top w:val="nil"/>
              <w:left w:val="nil"/>
              <w:bottom w:val="nil"/>
              <w:right w:val="nil"/>
            </w:tcBorders>
            <w:shd w:val="clear" w:color="auto" w:fill="auto"/>
            <w:noWrap/>
            <w:vAlign w:val="center"/>
            <w:hideMark/>
          </w:tcPr>
          <w:p w14:paraId="043EA75A"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72A6E7A5"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r>
      <w:tr w:rsidR="003B60BB" w:rsidRPr="003B60BB" w14:paraId="687D329F" w14:textId="77777777" w:rsidTr="003B60BB">
        <w:trPr>
          <w:trHeight w:val="300"/>
        </w:trPr>
        <w:tc>
          <w:tcPr>
            <w:tcW w:w="1540" w:type="dxa"/>
            <w:tcBorders>
              <w:top w:val="nil"/>
              <w:left w:val="nil"/>
              <w:bottom w:val="nil"/>
              <w:right w:val="nil"/>
            </w:tcBorders>
            <w:shd w:val="clear" w:color="auto" w:fill="auto"/>
            <w:noWrap/>
            <w:vAlign w:val="center"/>
            <w:hideMark/>
          </w:tcPr>
          <w:p w14:paraId="2545FD55"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09145D08"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center"/>
            <w:hideMark/>
          </w:tcPr>
          <w:p w14:paraId="6D41A364"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26" w:type="dxa"/>
            <w:tcBorders>
              <w:top w:val="nil"/>
              <w:left w:val="nil"/>
              <w:bottom w:val="nil"/>
              <w:right w:val="nil"/>
            </w:tcBorders>
            <w:shd w:val="clear" w:color="auto" w:fill="auto"/>
            <w:vAlign w:val="center"/>
            <w:hideMark/>
          </w:tcPr>
          <w:p w14:paraId="0A2628F8"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center"/>
            <w:hideMark/>
          </w:tcPr>
          <w:p w14:paraId="74FE6C76"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center"/>
            <w:hideMark/>
          </w:tcPr>
          <w:p w14:paraId="5F93D7D0"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3185" w:type="dxa"/>
            <w:tcBorders>
              <w:top w:val="nil"/>
              <w:left w:val="nil"/>
              <w:bottom w:val="nil"/>
              <w:right w:val="nil"/>
            </w:tcBorders>
            <w:shd w:val="clear" w:color="auto" w:fill="auto"/>
            <w:noWrap/>
            <w:vAlign w:val="center"/>
            <w:hideMark/>
          </w:tcPr>
          <w:p w14:paraId="45CB2499"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1D47D9DA"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r>
      <w:tr w:rsidR="003B60BB" w:rsidRPr="003B60BB" w14:paraId="30C25074" w14:textId="77777777" w:rsidTr="003B60BB">
        <w:trPr>
          <w:trHeight w:val="289"/>
        </w:trPr>
        <w:tc>
          <w:tcPr>
            <w:tcW w:w="11000" w:type="dxa"/>
            <w:gridSpan w:val="8"/>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60BE0F8" w14:textId="77777777" w:rsidR="003B60BB" w:rsidRPr="003B60BB" w:rsidRDefault="003B60BB" w:rsidP="003B60BB">
            <w:pPr>
              <w:spacing w:after="0" w:line="240" w:lineRule="auto"/>
              <w:jc w:val="center"/>
              <w:rPr>
                <w:rFonts w:ascii="Calibri" w:eastAsia="Times New Roman" w:hAnsi="Calibri" w:cs="Calibri"/>
                <w:b/>
                <w:bCs/>
                <w:color w:val="000000"/>
              </w:rPr>
            </w:pPr>
            <w:r w:rsidRPr="003B60BB">
              <w:rPr>
                <w:rFonts w:ascii="Calibri" w:eastAsia="Times New Roman" w:hAnsi="Calibri" w:cs="Calibri"/>
                <w:b/>
                <w:bCs/>
                <w:color w:val="000000"/>
              </w:rPr>
              <w:t xml:space="preserve">Gwinnett County Water Distribution System - Lead and Copper Levels at Residential Taps </w:t>
            </w:r>
          </w:p>
        </w:tc>
      </w:tr>
      <w:tr w:rsidR="003B60BB" w:rsidRPr="003B60BB" w14:paraId="594D8101" w14:textId="77777777" w:rsidTr="003B60BB">
        <w:trPr>
          <w:trHeight w:val="840"/>
        </w:trPr>
        <w:tc>
          <w:tcPr>
            <w:tcW w:w="1540" w:type="dxa"/>
            <w:tcBorders>
              <w:top w:val="nil"/>
              <w:left w:val="single" w:sz="4" w:space="0" w:color="auto"/>
              <w:bottom w:val="single" w:sz="4" w:space="0" w:color="auto"/>
              <w:right w:val="single" w:sz="4" w:space="0" w:color="auto"/>
            </w:tcBorders>
            <w:shd w:val="clear" w:color="000000" w:fill="DCE6F1"/>
            <w:vAlign w:val="center"/>
            <w:hideMark/>
          </w:tcPr>
          <w:p w14:paraId="29953B1F"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Substance (Unit)</w:t>
            </w:r>
          </w:p>
        </w:tc>
        <w:tc>
          <w:tcPr>
            <w:tcW w:w="1080" w:type="dxa"/>
            <w:tcBorders>
              <w:top w:val="nil"/>
              <w:left w:val="nil"/>
              <w:bottom w:val="single" w:sz="4" w:space="0" w:color="auto"/>
              <w:right w:val="single" w:sz="4" w:space="0" w:color="auto"/>
            </w:tcBorders>
            <w:shd w:val="clear" w:color="000000" w:fill="DCE6F1"/>
            <w:vAlign w:val="center"/>
            <w:hideMark/>
          </w:tcPr>
          <w:p w14:paraId="5D09EAF4"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Action Level 90%</w:t>
            </w:r>
          </w:p>
        </w:tc>
        <w:tc>
          <w:tcPr>
            <w:tcW w:w="1986" w:type="dxa"/>
            <w:gridSpan w:val="2"/>
            <w:tcBorders>
              <w:top w:val="single" w:sz="4" w:space="0" w:color="auto"/>
              <w:left w:val="nil"/>
              <w:bottom w:val="single" w:sz="4" w:space="0" w:color="auto"/>
              <w:right w:val="single" w:sz="4" w:space="0" w:color="000000"/>
            </w:tcBorders>
            <w:shd w:val="clear" w:color="000000" w:fill="DCE6F1"/>
            <w:vAlign w:val="center"/>
            <w:hideMark/>
          </w:tcPr>
          <w:p w14:paraId="6087728C"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90th Percentile sample result</w:t>
            </w:r>
          </w:p>
        </w:tc>
        <w:tc>
          <w:tcPr>
            <w:tcW w:w="2249" w:type="dxa"/>
            <w:gridSpan w:val="2"/>
            <w:tcBorders>
              <w:top w:val="single" w:sz="4" w:space="0" w:color="auto"/>
              <w:left w:val="nil"/>
              <w:bottom w:val="single" w:sz="4" w:space="0" w:color="auto"/>
              <w:right w:val="single" w:sz="4" w:space="0" w:color="000000"/>
            </w:tcBorders>
            <w:shd w:val="clear" w:color="000000" w:fill="DCE6F1"/>
            <w:vAlign w:val="center"/>
            <w:hideMark/>
          </w:tcPr>
          <w:p w14:paraId="474251E1"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Number of sites exceeding Action Level (AL)</w:t>
            </w:r>
          </w:p>
        </w:tc>
        <w:tc>
          <w:tcPr>
            <w:tcW w:w="3185" w:type="dxa"/>
            <w:tcBorders>
              <w:top w:val="nil"/>
              <w:left w:val="nil"/>
              <w:bottom w:val="single" w:sz="4" w:space="0" w:color="auto"/>
              <w:right w:val="single" w:sz="4" w:space="0" w:color="auto"/>
            </w:tcBorders>
            <w:shd w:val="clear" w:color="000000" w:fill="DCE6F1"/>
            <w:noWrap/>
            <w:vAlign w:val="center"/>
            <w:hideMark/>
          </w:tcPr>
          <w:p w14:paraId="564C0997"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Major Sources</w:t>
            </w:r>
          </w:p>
        </w:tc>
        <w:tc>
          <w:tcPr>
            <w:tcW w:w="960" w:type="dxa"/>
            <w:tcBorders>
              <w:top w:val="nil"/>
              <w:left w:val="nil"/>
              <w:bottom w:val="single" w:sz="4" w:space="0" w:color="auto"/>
              <w:right w:val="single" w:sz="4" w:space="0" w:color="auto"/>
            </w:tcBorders>
            <w:shd w:val="clear" w:color="000000" w:fill="DCE6F1"/>
            <w:noWrap/>
            <w:vAlign w:val="center"/>
            <w:hideMark/>
          </w:tcPr>
          <w:p w14:paraId="3E18D26D"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Violation</w:t>
            </w:r>
          </w:p>
        </w:tc>
      </w:tr>
      <w:tr w:rsidR="003B60BB" w:rsidRPr="003B60BB" w14:paraId="5E403D1A" w14:textId="77777777" w:rsidTr="003B60BB">
        <w:trPr>
          <w:trHeight w:val="589"/>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D5AE24D"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Lead</w:t>
            </w:r>
            <w:r w:rsidRPr="003B60BB">
              <w:rPr>
                <w:rFonts w:ascii="Calibri" w:eastAsia="Times New Roman" w:hAnsi="Calibri" w:cs="Calibri"/>
                <w:color w:val="000000"/>
                <w:vertAlign w:val="superscript"/>
              </w:rPr>
              <w:t>3</w:t>
            </w:r>
            <w:r w:rsidRPr="003B60BB">
              <w:rPr>
                <w:rFonts w:ascii="Calibri" w:eastAsia="Times New Roman" w:hAnsi="Calibri" w:cs="Calibri"/>
                <w:color w:val="000000"/>
              </w:rPr>
              <w:t xml:space="preserve">               </w:t>
            </w:r>
            <w:r w:rsidRPr="003B60BB">
              <w:rPr>
                <w:rFonts w:ascii="Calibri" w:eastAsia="Times New Roman" w:hAnsi="Calibri" w:cs="Calibri"/>
                <w:color w:val="000000"/>
                <w:sz w:val="20"/>
                <w:szCs w:val="20"/>
              </w:rPr>
              <w:t>(ppb)</w:t>
            </w:r>
            <w:r w:rsidRPr="003B60BB">
              <w:rPr>
                <w:rFonts w:ascii="Calibri" w:eastAsia="Times New Roman" w:hAnsi="Calibri" w:cs="Calibri"/>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2A85CC4"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15</w:t>
            </w:r>
          </w:p>
        </w:tc>
        <w:tc>
          <w:tcPr>
            <w:tcW w:w="198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FFBBF44"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1.1</w:t>
            </w:r>
          </w:p>
        </w:tc>
        <w:tc>
          <w:tcPr>
            <w:tcW w:w="224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7E57B7B"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1</w:t>
            </w:r>
          </w:p>
        </w:tc>
        <w:tc>
          <w:tcPr>
            <w:tcW w:w="3185" w:type="dxa"/>
            <w:tcBorders>
              <w:top w:val="nil"/>
              <w:left w:val="nil"/>
              <w:bottom w:val="single" w:sz="4" w:space="0" w:color="auto"/>
              <w:right w:val="single" w:sz="4" w:space="0" w:color="auto"/>
            </w:tcBorders>
            <w:shd w:val="clear" w:color="auto" w:fill="auto"/>
            <w:vAlign w:val="center"/>
            <w:hideMark/>
          </w:tcPr>
          <w:p w14:paraId="79BEE71C"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 xml:space="preserve">Corrosion of household plumbing systems </w:t>
            </w:r>
          </w:p>
        </w:tc>
        <w:tc>
          <w:tcPr>
            <w:tcW w:w="960" w:type="dxa"/>
            <w:tcBorders>
              <w:top w:val="nil"/>
              <w:left w:val="nil"/>
              <w:bottom w:val="single" w:sz="4" w:space="0" w:color="auto"/>
              <w:right w:val="single" w:sz="4" w:space="0" w:color="auto"/>
            </w:tcBorders>
            <w:shd w:val="clear" w:color="auto" w:fill="auto"/>
            <w:noWrap/>
            <w:vAlign w:val="center"/>
            <w:hideMark/>
          </w:tcPr>
          <w:p w14:paraId="2BB51DAD"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No</w:t>
            </w:r>
          </w:p>
        </w:tc>
      </w:tr>
      <w:tr w:rsidR="003B60BB" w:rsidRPr="003B60BB" w14:paraId="3E9E81EA" w14:textId="77777777" w:rsidTr="003B60BB">
        <w:trPr>
          <w:trHeight w:val="589"/>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17504AE"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Copper</w:t>
            </w:r>
            <w:r w:rsidRPr="003B60BB">
              <w:rPr>
                <w:rFonts w:ascii="Calibri" w:eastAsia="Times New Roman" w:hAnsi="Calibri" w:cs="Calibri"/>
                <w:color w:val="000000"/>
                <w:vertAlign w:val="superscript"/>
              </w:rPr>
              <w:t>4</w:t>
            </w:r>
            <w:r w:rsidRPr="003B60BB">
              <w:rPr>
                <w:rFonts w:ascii="Calibri" w:eastAsia="Times New Roman" w:hAnsi="Calibri" w:cs="Calibri"/>
                <w:color w:val="000000"/>
              </w:rPr>
              <w:t xml:space="preserve">        </w:t>
            </w:r>
            <w:r w:rsidRPr="003B60BB">
              <w:rPr>
                <w:rFonts w:ascii="Calibri" w:eastAsia="Times New Roman" w:hAnsi="Calibri" w:cs="Calibri"/>
                <w:color w:val="000000"/>
                <w:sz w:val="20"/>
                <w:szCs w:val="20"/>
              </w:rPr>
              <w:t>(ppm)</w:t>
            </w:r>
          </w:p>
        </w:tc>
        <w:tc>
          <w:tcPr>
            <w:tcW w:w="1080" w:type="dxa"/>
            <w:tcBorders>
              <w:top w:val="nil"/>
              <w:left w:val="nil"/>
              <w:bottom w:val="single" w:sz="4" w:space="0" w:color="auto"/>
              <w:right w:val="single" w:sz="4" w:space="0" w:color="auto"/>
            </w:tcBorders>
            <w:shd w:val="clear" w:color="auto" w:fill="auto"/>
            <w:noWrap/>
            <w:vAlign w:val="center"/>
            <w:hideMark/>
          </w:tcPr>
          <w:p w14:paraId="6141792D"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1.3</w:t>
            </w:r>
          </w:p>
        </w:tc>
        <w:tc>
          <w:tcPr>
            <w:tcW w:w="198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7D297C1"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0.16</w:t>
            </w:r>
          </w:p>
        </w:tc>
        <w:tc>
          <w:tcPr>
            <w:tcW w:w="224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51489E0"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0</w:t>
            </w:r>
          </w:p>
        </w:tc>
        <w:tc>
          <w:tcPr>
            <w:tcW w:w="3185" w:type="dxa"/>
            <w:tcBorders>
              <w:top w:val="nil"/>
              <w:left w:val="nil"/>
              <w:bottom w:val="single" w:sz="4" w:space="0" w:color="auto"/>
              <w:right w:val="single" w:sz="4" w:space="0" w:color="auto"/>
            </w:tcBorders>
            <w:shd w:val="clear" w:color="auto" w:fill="auto"/>
            <w:vAlign w:val="center"/>
            <w:hideMark/>
          </w:tcPr>
          <w:p w14:paraId="0FFA2A26"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 xml:space="preserve">Corrosion of household plumbing systems </w:t>
            </w:r>
          </w:p>
        </w:tc>
        <w:tc>
          <w:tcPr>
            <w:tcW w:w="960" w:type="dxa"/>
            <w:tcBorders>
              <w:top w:val="nil"/>
              <w:left w:val="nil"/>
              <w:bottom w:val="single" w:sz="4" w:space="0" w:color="auto"/>
              <w:right w:val="single" w:sz="4" w:space="0" w:color="auto"/>
            </w:tcBorders>
            <w:shd w:val="clear" w:color="auto" w:fill="auto"/>
            <w:noWrap/>
            <w:vAlign w:val="center"/>
            <w:hideMark/>
          </w:tcPr>
          <w:p w14:paraId="0B2FAA22"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No</w:t>
            </w:r>
          </w:p>
        </w:tc>
      </w:tr>
      <w:tr w:rsidR="003B60BB" w:rsidRPr="003B60BB" w14:paraId="0677A7B7" w14:textId="77777777" w:rsidTr="003B60BB">
        <w:trPr>
          <w:trHeight w:val="1065"/>
        </w:trPr>
        <w:tc>
          <w:tcPr>
            <w:tcW w:w="110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1EAC440" w14:textId="77777777" w:rsidR="003B60BB" w:rsidRPr="003B60BB" w:rsidRDefault="003B60BB" w:rsidP="003B60BB">
            <w:pPr>
              <w:spacing w:after="0" w:line="240" w:lineRule="auto"/>
              <w:rPr>
                <w:rFonts w:ascii="Calibri" w:eastAsia="Times New Roman" w:hAnsi="Calibri" w:cs="Calibri"/>
                <w:color w:val="000000"/>
                <w:sz w:val="20"/>
                <w:szCs w:val="20"/>
              </w:rPr>
            </w:pPr>
            <w:r w:rsidRPr="003B60BB">
              <w:rPr>
                <w:rFonts w:ascii="Calibri" w:eastAsia="Times New Roman" w:hAnsi="Calibri" w:cs="Calibri"/>
                <w:color w:val="000000"/>
                <w:sz w:val="20"/>
                <w:szCs w:val="20"/>
              </w:rPr>
              <w:t xml:space="preserve">Gwinnett is required to test a minimum of 50 homes for lead and copper every three years. The last testing occurred in 2017, and the next texting will take place in 2020.  Compliance with the Lead and Copper Rule is based on obtaining the 90th percentile of the total number of samples collected and comparing it against the lead and copper action levels. To have an exceedance, the 90th percentile value must be greater than 15 ppb for lead or 1.3 ppm for copper. </w:t>
            </w:r>
          </w:p>
        </w:tc>
      </w:tr>
      <w:tr w:rsidR="003B60BB" w:rsidRPr="003B60BB" w14:paraId="7170A11A" w14:textId="77777777" w:rsidTr="003B60BB">
        <w:trPr>
          <w:trHeight w:val="405"/>
        </w:trPr>
        <w:tc>
          <w:tcPr>
            <w:tcW w:w="110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769D080" w14:textId="77777777" w:rsidR="003B60BB" w:rsidRPr="003B60BB" w:rsidRDefault="003B60BB" w:rsidP="003B60BB">
            <w:pPr>
              <w:spacing w:after="0" w:line="240" w:lineRule="auto"/>
              <w:rPr>
                <w:rFonts w:ascii="Calibri" w:eastAsia="Times New Roman" w:hAnsi="Calibri" w:cs="Calibri"/>
                <w:color w:val="000000"/>
                <w:sz w:val="20"/>
                <w:szCs w:val="20"/>
              </w:rPr>
            </w:pPr>
            <w:r w:rsidRPr="003B60BB">
              <w:rPr>
                <w:rFonts w:ascii="Calibri" w:eastAsia="Times New Roman" w:hAnsi="Calibri" w:cs="Calibri"/>
                <w:color w:val="000000"/>
                <w:sz w:val="20"/>
                <w:szCs w:val="20"/>
                <w:vertAlign w:val="superscript"/>
              </w:rPr>
              <w:t>3</w:t>
            </w:r>
            <w:r w:rsidRPr="003B60BB">
              <w:rPr>
                <w:rFonts w:ascii="Calibri" w:eastAsia="Times New Roman" w:hAnsi="Calibri" w:cs="Calibri"/>
                <w:color w:val="000000"/>
                <w:sz w:val="20"/>
                <w:szCs w:val="20"/>
              </w:rPr>
              <w:t>Of the 50 homes tested in 2017, one site exceeded the action level (AL) for lead.</w:t>
            </w:r>
          </w:p>
        </w:tc>
      </w:tr>
      <w:tr w:rsidR="003B60BB" w:rsidRPr="003B60BB" w14:paraId="49CBC977" w14:textId="77777777" w:rsidTr="003B60BB">
        <w:trPr>
          <w:trHeight w:val="300"/>
        </w:trPr>
        <w:tc>
          <w:tcPr>
            <w:tcW w:w="110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16426" w14:textId="77777777" w:rsidR="003B60BB" w:rsidRPr="003B60BB" w:rsidRDefault="003B60BB" w:rsidP="003B60BB">
            <w:pPr>
              <w:spacing w:after="0" w:line="240" w:lineRule="auto"/>
              <w:rPr>
                <w:rFonts w:ascii="Calibri" w:eastAsia="Times New Roman" w:hAnsi="Calibri" w:cs="Calibri"/>
                <w:color w:val="000000"/>
                <w:sz w:val="20"/>
                <w:szCs w:val="20"/>
              </w:rPr>
            </w:pPr>
            <w:r w:rsidRPr="003B60BB">
              <w:rPr>
                <w:rFonts w:ascii="Calibri" w:eastAsia="Times New Roman" w:hAnsi="Calibri" w:cs="Calibri"/>
                <w:color w:val="000000"/>
                <w:sz w:val="20"/>
                <w:szCs w:val="20"/>
                <w:vertAlign w:val="superscript"/>
              </w:rPr>
              <w:t>4</w:t>
            </w:r>
            <w:r w:rsidRPr="003B60BB">
              <w:rPr>
                <w:rFonts w:ascii="Calibri" w:eastAsia="Times New Roman" w:hAnsi="Calibri" w:cs="Calibri"/>
                <w:color w:val="000000"/>
                <w:sz w:val="20"/>
                <w:szCs w:val="20"/>
              </w:rPr>
              <w:t>Of the 50 homes tested in 2017, no sites exceeded the action level (AL) for copper.</w:t>
            </w:r>
          </w:p>
        </w:tc>
      </w:tr>
      <w:tr w:rsidR="003B60BB" w:rsidRPr="003B60BB" w14:paraId="68BFB3ED" w14:textId="77777777" w:rsidTr="003B60BB">
        <w:trPr>
          <w:trHeight w:val="300"/>
        </w:trPr>
        <w:tc>
          <w:tcPr>
            <w:tcW w:w="1540" w:type="dxa"/>
            <w:tcBorders>
              <w:top w:val="nil"/>
              <w:left w:val="nil"/>
              <w:bottom w:val="nil"/>
              <w:right w:val="nil"/>
            </w:tcBorders>
            <w:shd w:val="clear" w:color="auto" w:fill="auto"/>
            <w:noWrap/>
            <w:vAlign w:val="center"/>
            <w:hideMark/>
          </w:tcPr>
          <w:p w14:paraId="29FCB4E5" w14:textId="77777777" w:rsidR="003B60BB" w:rsidRPr="003B60BB" w:rsidRDefault="003B60BB" w:rsidP="003B60BB">
            <w:pPr>
              <w:spacing w:after="0" w:line="240" w:lineRule="auto"/>
              <w:rPr>
                <w:rFonts w:ascii="Calibri" w:eastAsia="Times New Roman" w:hAnsi="Calibri" w:cs="Calibri"/>
                <w:color w:val="000000"/>
                <w:sz w:val="20"/>
                <w:szCs w:val="20"/>
              </w:rPr>
            </w:pPr>
          </w:p>
        </w:tc>
        <w:tc>
          <w:tcPr>
            <w:tcW w:w="1080" w:type="dxa"/>
            <w:tcBorders>
              <w:top w:val="nil"/>
              <w:left w:val="nil"/>
              <w:bottom w:val="nil"/>
              <w:right w:val="nil"/>
            </w:tcBorders>
            <w:shd w:val="clear" w:color="auto" w:fill="auto"/>
            <w:noWrap/>
            <w:vAlign w:val="center"/>
            <w:hideMark/>
          </w:tcPr>
          <w:p w14:paraId="5EB486C9"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center"/>
            <w:hideMark/>
          </w:tcPr>
          <w:p w14:paraId="4EA3C5CE"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26" w:type="dxa"/>
            <w:tcBorders>
              <w:top w:val="nil"/>
              <w:left w:val="nil"/>
              <w:bottom w:val="nil"/>
              <w:right w:val="nil"/>
            </w:tcBorders>
            <w:shd w:val="clear" w:color="auto" w:fill="auto"/>
            <w:vAlign w:val="center"/>
            <w:hideMark/>
          </w:tcPr>
          <w:p w14:paraId="7BE8422E"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center"/>
            <w:hideMark/>
          </w:tcPr>
          <w:p w14:paraId="183FD074"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center"/>
            <w:hideMark/>
          </w:tcPr>
          <w:p w14:paraId="632CC1CA"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3185" w:type="dxa"/>
            <w:tcBorders>
              <w:top w:val="nil"/>
              <w:left w:val="nil"/>
              <w:bottom w:val="nil"/>
              <w:right w:val="nil"/>
            </w:tcBorders>
            <w:shd w:val="clear" w:color="auto" w:fill="auto"/>
            <w:noWrap/>
            <w:vAlign w:val="center"/>
            <w:hideMark/>
          </w:tcPr>
          <w:p w14:paraId="47133F72"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4875C2D1"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r>
      <w:tr w:rsidR="003B60BB" w:rsidRPr="003B60BB" w14:paraId="7CE79519" w14:textId="77777777" w:rsidTr="003B60BB">
        <w:trPr>
          <w:trHeight w:val="300"/>
        </w:trPr>
        <w:tc>
          <w:tcPr>
            <w:tcW w:w="11000" w:type="dxa"/>
            <w:gridSpan w:val="8"/>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D66696F" w14:textId="77777777" w:rsidR="003B60BB" w:rsidRPr="003B60BB" w:rsidRDefault="003B60BB" w:rsidP="003B60BB">
            <w:pPr>
              <w:spacing w:after="0" w:line="240" w:lineRule="auto"/>
              <w:jc w:val="center"/>
              <w:rPr>
                <w:rFonts w:ascii="Calibri" w:eastAsia="Times New Roman" w:hAnsi="Calibri" w:cs="Calibri"/>
                <w:b/>
                <w:bCs/>
                <w:color w:val="000000"/>
              </w:rPr>
            </w:pPr>
            <w:r w:rsidRPr="003B60BB">
              <w:rPr>
                <w:rFonts w:ascii="Calibri" w:eastAsia="Times New Roman" w:hAnsi="Calibri" w:cs="Calibri"/>
                <w:b/>
                <w:bCs/>
                <w:color w:val="000000"/>
              </w:rPr>
              <w:t xml:space="preserve">Disinfection By-Products, By-Product Precursors and Disinfectant Residuals </w:t>
            </w:r>
          </w:p>
        </w:tc>
      </w:tr>
      <w:tr w:rsidR="003B60BB" w:rsidRPr="003B60BB" w14:paraId="1DABE1F0" w14:textId="77777777" w:rsidTr="003B60BB">
        <w:trPr>
          <w:trHeight w:val="945"/>
        </w:trPr>
        <w:tc>
          <w:tcPr>
            <w:tcW w:w="1540" w:type="dxa"/>
            <w:tcBorders>
              <w:top w:val="nil"/>
              <w:left w:val="single" w:sz="4" w:space="0" w:color="auto"/>
              <w:bottom w:val="single" w:sz="4" w:space="0" w:color="auto"/>
              <w:right w:val="single" w:sz="4" w:space="0" w:color="auto"/>
            </w:tcBorders>
            <w:shd w:val="clear" w:color="000000" w:fill="DCE6F1"/>
            <w:vAlign w:val="center"/>
            <w:hideMark/>
          </w:tcPr>
          <w:p w14:paraId="5B4FCEC0"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Substance (Unit)</w:t>
            </w:r>
          </w:p>
        </w:tc>
        <w:tc>
          <w:tcPr>
            <w:tcW w:w="1080" w:type="dxa"/>
            <w:tcBorders>
              <w:top w:val="nil"/>
              <w:left w:val="nil"/>
              <w:bottom w:val="single" w:sz="4" w:space="0" w:color="auto"/>
              <w:right w:val="single" w:sz="4" w:space="0" w:color="auto"/>
            </w:tcBorders>
            <w:shd w:val="clear" w:color="000000" w:fill="DCE6F1"/>
            <w:vAlign w:val="center"/>
            <w:hideMark/>
          </w:tcPr>
          <w:p w14:paraId="1FBB8088"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Analysis Frequency</w:t>
            </w:r>
          </w:p>
        </w:tc>
        <w:tc>
          <w:tcPr>
            <w:tcW w:w="1060" w:type="dxa"/>
            <w:tcBorders>
              <w:top w:val="nil"/>
              <w:left w:val="nil"/>
              <w:bottom w:val="single" w:sz="4" w:space="0" w:color="auto"/>
              <w:right w:val="single" w:sz="4" w:space="0" w:color="auto"/>
            </w:tcBorders>
            <w:shd w:val="clear" w:color="000000" w:fill="DCE6F1"/>
            <w:vAlign w:val="center"/>
            <w:hideMark/>
          </w:tcPr>
          <w:p w14:paraId="773EA0A5"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MCL (LRAA)</w:t>
            </w:r>
          </w:p>
        </w:tc>
        <w:tc>
          <w:tcPr>
            <w:tcW w:w="926" w:type="dxa"/>
            <w:tcBorders>
              <w:top w:val="nil"/>
              <w:left w:val="nil"/>
              <w:bottom w:val="single" w:sz="4" w:space="0" w:color="auto"/>
              <w:right w:val="single" w:sz="4" w:space="0" w:color="auto"/>
            </w:tcBorders>
            <w:shd w:val="clear" w:color="000000" w:fill="DCE6F1"/>
            <w:vAlign w:val="center"/>
            <w:hideMark/>
          </w:tcPr>
          <w:p w14:paraId="38A5BF78"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MCLG (LRAA)</w:t>
            </w:r>
          </w:p>
        </w:tc>
        <w:tc>
          <w:tcPr>
            <w:tcW w:w="1260" w:type="dxa"/>
            <w:tcBorders>
              <w:top w:val="nil"/>
              <w:left w:val="nil"/>
              <w:bottom w:val="single" w:sz="4" w:space="0" w:color="auto"/>
              <w:right w:val="single" w:sz="4" w:space="0" w:color="auto"/>
            </w:tcBorders>
            <w:shd w:val="clear" w:color="000000" w:fill="DCE6F1"/>
            <w:vAlign w:val="center"/>
            <w:hideMark/>
          </w:tcPr>
          <w:p w14:paraId="49AF3D3A"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Highest Detected  LRAA</w:t>
            </w:r>
            <w:r w:rsidRPr="003B60BB">
              <w:rPr>
                <w:rFonts w:ascii="Calibri" w:eastAsia="Times New Roman" w:hAnsi="Calibri" w:cs="Calibri"/>
                <w:color w:val="000000"/>
                <w:vertAlign w:val="superscript"/>
              </w:rPr>
              <w:t>5</w:t>
            </w:r>
          </w:p>
        </w:tc>
        <w:tc>
          <w:tcPr>
            <w:tcW w:w="989" w:type="dxa"/>
            <w:tcBorders>
              <w:top w:val="nil"/>
              <w:left w:val="nil"/>
              <w:bottom w:val="single" w:sz="4" w:space="0" w:color="auto"/>
              <w:right w:val="single" w:sz="4" w:space="0" w:color="auto"/>
            </w:tcBorders>
            <w:shd w:val="clear" w:color="000000" w:fill="DCE6F1"/>
            <w:noWrap/>
            <w:vAlign w:val="center"/>
            <w:hideMark/>
          </w:tcPr>
          <w:p w14:paraId="62CCC3B8"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Range</w:t>
            </w:r>
          </w:p>
        </w:tc>
        <w:tc>
          <w:tcPr>
            <w:tcW w:w="3185" w:type="dxa"/>
            <w:tcBorders>
              <w:top w:val="nil"/>
              <w:left w:val="nil"/>
              <w:bottom w:val="single" w:sz="4" w:space="0" w:color="auto"/>
              <w:right w:val="single" w:sz="4" w:space="0" w:color="auto"/>
            </w:tcBorders>
            <w:shd w:val="clear" w:color="000000" w:fill="DCE6F1"/>
            <w:noWrap/>
            <w:vAlign w:val="center"/>
            <w:hideMark/>
          </w:tcPr>
          <w:p w14:paraId="647D4807"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Major Sources</w:t>
            </w:r>
          </w:p>
        </w:tc>
        <w:tc>
          <w:tcPr>
            <w:tcW w:w="960" w:type="dxa"/>
            <w:tcBorders>
              <w:top w:val="nil"/>
              <w:left w:val="nil"/>
              <w:bottom w:val="single" w:sz="4" w:space="0" w:color="auto"/>
              <w:right w:val="single" w:sz="4" w:space="0" w:color="auto"/>
            </w:tcBorders>
            <w:shd w:val="clear" w:color="000000" w:fill="DCE6F1"/>
            <w:noWrap/>
            <w:vAlign w:val="center"/>
            <w:hideMark/>
          </w:tcPr>
          <w:p w14:paraId="35411ABF"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Violation</w:t>
            </w:r>
          </w:p>
        </w:tc>
      </w:tr>
      <w:tr w:rsidR="003B60BB" w:rsidRPr="003B60BB" w14:paraId="5141950B" w14:textId="77777777" w:rsidTr="003B60BB">
        <w:trPr>
          <w:trHeight w:val="855"/>
        </w:trPr>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660771C7"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 xml:space="preserve">TTHMs </w:t>
            </w:r>
            <w:r w:rsidRPr="003B60BB">
              <w:rPr>
                <w:rFonts w:ascii="Calibri" w:eastAsia="Times New Roman" w:hAnsi="Calibri" w:cs="Calibri"/>
                <w:color w:val="000000"/>
                <w:sz w:val="20"/>
                <w:szCs w:val="20"/>
              </w:rPr>
              <w:t xml:space="preserve">(Total Trihalomethanes) (ppb) </w:t>
            </w:r>
            <w:r w:rsidRPr="003B60BB">
              <w:rPr>
                <w:rFonts w:ascii="Calibri" w:eastAsia="Times New Roman" w:hAnsi="Calibri" w:cs="Calibri"/>
                <w:color w:val="000000"/>
              </w:rPr>
              <w:t xml:space="preserve">- Stage 2  </w:t>
            </w:r>
          </w:p>
        </w:tc>
        <w:tc>
          <w:tcPr>
            <w:tcW w:w="1080" w:type="dxa"/>
            <w:tcBorders>
              <w:top w:val="nil"/>
              <w:left w:val="nil"/>
              <w:bottom w:val="single" w:sz="4" w:space="0" w:color="auto"/>
              <w:right w:val="single" w:sz="4" w:space="0" w:color="auto"/>
            </w:tcBorders>
            <w:shd w:val="clear" w:color="000000" w:fill="FFFFFF"/>
            <w:noWrap/>
            <w:vAlign w:val="center"/>
            <w:hideMark/>
          </w:tcPr>
          <w:p w14:paraId="46A4C4F8"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Quarterly</w:t>
            </w:r>
          </w:p>
        </w:tc>
        <w:tc>
          <w:tcPr>
            <w:tcW w:w="1060" w:type="dxa"/>
            <w:tcBorders>
              <w:top w:val="nil"/>
              <w:left w:val="nil"/>
              <w:bottom w:val="single" w:sz="4" w:space="0" w:color="auto"/>
              <w:right w:val="single" w:sz="4" w:space="0" w:color="auto"/>
            </w:tcBorders>
            <w:shd w:val="clear" w:color="000000" w:fill="FFFFFF"/>
            <w:noWrap/>
            <w:vAlign w:val="center"/>
            <w:hideMark/>
          </w:tcPr>
          <w:p w14:paraId="3A254A97"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80</w:t>
            </w:r>
          </w:p>
        </w:tc>
        <w:tc>
          <w:tcPr>
            <w:tcW w:w="926" w:type="dxa"/>
            <w:tcBorders>
              <w:top w:val="nil"/>
              <w:left w:val="nil"/>
              <w:bottom w:val="single" w:sz="4" w:space="0" w:color="auto"/>
              <w:right w:val="single" w:sz="4" w:space="0" w:color="auto"/>
            </w:tcBorders>
            <w:shd w:val="clear" w:color="000000" w:fill="FFFFFF"/>
            <w:vAlign w:val="center"/>
            <w:hideMark/>
          </w:tcPr>
          <w:p w14:paraId="43AB5D4B"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0</w:t>
            </w:r>
          </w:p>
        </w:tc>
        <w:tc>
          <w:tcPr>
            <w:tcW w:w="1260" w:type="dxa"/>
            <w:tcBorders>
              <w:top w:val="nil"/>
              <w:left w:val="nil"/>
              <w:bottom w:val="single" w:sz="4" w:space="0" w:color="auto"/>
              <w:right w:val="single" w:sz="4" w:space="0" w:color="auto"/>
            </w:tcBorders>
            <w:shd w:val="clear" w:color="000000" w:fill="FFFFFF"/>
            <w:noWrap/>
            <w:vAlign w:val="center"/>
            <w:hideMark/>
          </w:tcPr>
          <w:p w14:paraId="2026E94E"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60.1</w:t>
            </w:r>
          </w:p>
        </w:tc>
        <w:tc>
          <w:tcPr>
            <w:tcW w:w="989" w:type="dxa"/>
            <w:tcBorders>
              <w:top w:val="nil"/>
              <w:left w:val="nil"/>
              <w:bottom w:val="single" w:sz="4" w:space="0" w:color="auto"/>
              <w:right w:val="single" w:sz="4" w:space="0" w:color="auto"/>
            </w:tcBorders>
            <w:shd w:val="clear" w:color="000000" w:fill="FFFFFF"/>
            <w:noWrap/>
            <w:vAlign w:val="center"/>
            <w:hideMark/>
          </w:tcPr>
          <w:p w14:paraId="0FD10DC3"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9.5-60.1</w:t>
            </w:r>
          </w:p>
        </w:tc>
        <w:tc>
          <w:tcPr>
            <w:tcW w:w="3185" w:type="dxa"/>
            <w:tcBorders>
              <w:top w:val="nil"/>
              <w:left w:val="nil"/>
              <w:bottom w:val="single" w:sz="4" w:space="0" w:color="auto"/>
              <w:right w:val="single" w:sz="4" w:space="0" w:color="auto"/>
            </w:tcBorders>
            <w:shd w:val="clear" w:color="000000" w:fill="FFFFFF"/>
            <w:vAlign w:val="center"/>
            <w:hideMark/>
          </w:tcPr>
          <w:p w14:paraId="62099CB2"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By-products of drinking water disinfection</w:t>
            </w:r>
          </w:p>
        </w:tc>
        <w:tc>
          <w:tcPr>
            <w:tcW w:w="960" w:type="dxa"/>
            <w:tcBorders>
              <w:top w:val="nil"/>
              <w:left w:val="nil"/>
              <w:bottom w:val="single" w:sz="4" w:space="0" w:color="auto"/>
              <w:right w:val="single" w:sz="4" w:space="0" w:color="auto"/>
            </w:tcBorders>
            <w:shd w:val="clear" w:color="000000" w:fill="FFFFFF"/>
            <w:noWrap/>
            <w:vAlign w:val="center"/>
            <w:hideMark/>
          </w:tcPr>
          <w:p w14:paraId="25CD54F9"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No</w:t>
            </w:r>
          </w:p>
        </w:tc>
      </w:tr>
      <w:tr w:rsidR="003B60BB" w:rsidRPr="003B60BB" w14:paraId="10FFA67B" w14:textId="77777777" w:rsidTr="003B60BB">
        <w:trPr>
          <w:trHeight w:val="1155"/>
        </w:trPr>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5BFFB6DD"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lastRenderedPageBreak/>
              <w:t xml:space="preserve">HAA5s </w:t>
            </w:r>
            <w:r w:rsidRPr="003B60BB">
              <w:rPr>
                <w:rFonts w:ascii="Calibri" w:eastAsia="Times New Roman" w:hAnsi="Calibri" w:cs="Calibri"/>
                <w:color w:val="000000"/>
                <w:sz w:val="20"/>
                <w:szCs w:val="20"/>
              </w:rPr>
              <w:t>(</w:t>
            </w:r>
            <w:proofErr w:type="spellStart"/>
            <w:r w:rsidRPr="003B60BB">
              <w:rPr>
                <w:rFonts w:ascii="Calibri" w:eastAsia="Times New Roman" w:hAnsi="Calibri" w:cs="Calibri"/>
                <w:color w:val="000000"/>
                <w:sz w:val="20"/>
                <w:szCs w:val="20"/>
              </w:rPr>
              <w:t>Haloacetic</w:t>
            </w:r>
            <w:proofErr w:type="spellEnd"/>
            <w:r w:rsidRPr="003B60BB">
              <w:rPr>
                <w:rFonts w:ascii="Calibri" w:eastAsia="Times New Roman" w:hAnsi="Calibri" w:cs="Calibri"/>
                <w:color w:val="000000"/>
                <w:sz w:val="20"/>
                <w:szCs w:val="20"/>
              </w:rPr>
              <w:t xml:space="preserve"> Acids) (ppb) -</w:t>
            </w:r>
            <w:r w:rsidRPr="003B60BB">
              <w:rPr>
                <w:rFonts w:ascii="Calibri" w:eastAsia="Times New Roman" w:hAnsi="Calibri" w:cs="Calibri"/>
                <w:color w:val="000000"/>
              </w:rPr>
              <w:t xml:space="preserve"> Stage 2  </w:t>
            </w:r>
          </w:p>
        </w:tc>
        <w:tc>
          <w:tcPr>
            <w:tcW w:w="1080" w:type="dxa"/>
            <w:tcBorders>
              <w:top w:val="nil"/>
              <w:left w:val="nil"/>
              <w:bottom w:val="single" w:sz="4" w:space="0" w:color="auto"/>
              <w:right w:val="single" w:sz="4" w:space="0" w:color="auto"/>
            </w:tcBorders>
            <w:shd w:val="clear" w:color="000000" w:fill="FFFFFF"/>
            <w:noWrap/>
            <w:vAlign w:val="center"/>
            <w:hideMark/>
          </w:tcPr>
          <w:p w14:paraId="7C171D64"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Quarterly</w:t>
            </w:r>
          </w:p>
        </w:tc>
        <w:tc>
          <w:tcPr>
            <w:tcW w:w="1060" w:type="dxa"/>
            <w:tcBorders>
              <w:top w:val="nil"/>
              <w:left w:val="nil"/>
              <w:bottom w:val="single" w:sz="4" w:space="0" w:color="auto"/>
              <w:right w:val="single" w:sz="4" w:space="0" w:color="auto"/>
            </w:tcBorders>
            <w:shd w:val="clear" w:color="000000" w:fill="FFFFFF"/>
            <w:noWrap/>
            <w:vAlign w:val="center"/>
            <w:hideMark/>
          </w:tcPr>
          <w:p w14:paraId="1DCF6EC1"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60</w:t>
            </w:r>
          </w:p>
        </w:tc>
        <w:tc>
          <w:tcPr>
            <w:tcW w:w="926" w:type="dxa"/>
            <w:tcBorders>
              <w:top w:val="nil"/>
              <w:left w:val="nil"/>
              <w:bottom w:val="single" w:sz="4" w:space="0" w:color="auto"/>
              <w:right w:val="single" w:sz="4" w:space="0" w:color="auto"/>
            </w:tcBorders>
            <w:shd w:val="clear" w:color="000000" w:fill="FFFFFF"/>
            <w:vAlign w:val="center"/>
            <w:hideMark/>
          </w:tcPr>
          <w:p w14:paraId="39D8AB78"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0</w:t>
            </w:r>
          </w:p>
        </w:tc>
        <w:tc>
          <w:tcPr>
            <w:tcW w:w="1260" w:type="dxa"/>
            <w:tcBorders>
              <w:top w:val="nil"/>
              <w:left w:val="nil"/>
              <w:bottom w:val="single" w:sz="4" w:space="0" w:color="auto"/>
              <w:right w:val="single" w:sz="4" w:space="0" w:color="auto"/>
            </w:tcBorders>
            <w:shd w:val="clear" w:color="000000" w:fill="FFFFFF"/>
            <w:noWrap/>
            <w:vAlign w:val="center"/>
            <w:hideMark/>
          </w:tcPr>
          <w:p w14:paraId="4836EDC4"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32</w:t>
            </w:r>
          </w:p>
        </w:tc>
        <w:tc>
          <w:tcPr>
            <w:tcW w:w="989" w:type="dxa"/>
            <w:tcBorders>
              <w:top w:val="nil"/>
              <w:left w:val="nil"/>
              <w:bottom w:val="single" w:sz="4" w:space="0" w:color="auto"/>
              <w:right w:val="single" w:sz="4" w:space="0" w:color="auto"/>
            </w:tcBorders>
            <w:shd w:val="clear" w:color="000000" w:fill="FFFFFF"/>
            <w:noWrap/>
            <w:vAlign w:val="center"/>
            <w:hideMark/>
          </w:tcPr>
          <w:p w14:paraId="7E4C4381"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8.525-32.0</w:t>
            </w:r>
          </w:p>
        </w:tc>
        <w:tc>
          <w:tcPr>
            <w:tcW w:w="3185" w:type="dxa"/>
            <w:tcBorders>
              <w:top w:val="nil"/>
              <w:left w:val="nil"/>
              <w:bottom w:val="single" w:sz="4" w:space="0" w:color="auto"/>
              <w:right w:val="single" w:sz="4" w:space="0" w:color="auto"/>
            </w:tcBorders>
            <w:shd w:val="clear" w:color="000000" w:fill="FFFFFF"/>
            <w:vAlign w:val="center"/>
            <w:hideMark/>
          </w:tcPr>
          <w:p w14:paraId="4EC69AC2"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By-products of drinking water disinfection</w:t>
            </w:r>
          </w:p>
        </w:tc>
        <w:tc>
          <w:tcPr>
            <w:tcW w:w="960" w:type="dxa"/>
            <w:tcBorders>
              <w:top w:val="nil"/>
              <w:left w:val="nil"/>
              <w:bottom w:val="single" w:sz="4" w:space="0" w:color="auto"/>
              <w:right w:val="single" w:sz="4" w:space="0" w:color="auto"/>
            </w:tcBorders>
            <w:shd w:val="clear" w:color="000000" w:fill="FFFFFF"/>
            <w:noWrap/>
            <w:vAlign w:val="center"/>
            <w:hideMark/>
          </w:tcPr>
          <w:p w14:paraId="342BD7B9"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No</w:t>
            </w:r>
          </w:p>
        </w:tc>
      </w:tr>
      <w:tr w:rsidR="003B60BB" w:rsidRPr="003B60BB" w14:paraId="541CA477" w14:textId="77777777" w:rsidTr="003B60BB">
        <w:trPr>
          <w:trHeight w:val="120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AA28118"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TOC</w:t>
            </w:r>
            <w:r w:rsidRPr="003B60BB">
              <w:rPr>
                <w:rFonts w:ascii="Calibri" w:eastAsia="Times New Roman" w:hAnsi="Calibri" w:cs="Calibri"/>
                <w:color w:val="000000"/>
                <w:sz w:val="20"/>
                <w:szCs w:val="20"/>
              </w:rPr>
              <w:t xml:space="preserve"> (Total Organic Carbon) (ppm) </w:t>
            </w:r>
          </w:p>
        </w:tc>
        <w:tc>
          <w:tcPr>
            <w:tcW w:w="1080" w:type="dxa"/>
            <w:tcBorders>
              <w:top w:val="nil"/>
              <w:left w:val="nil"/>
              <w:bottom w:val="single" w:sz="4" w:space="0" w:color="auto"/>
              <w:right w:val="single" w:sz="4" w:space="0" w:color="auto"/>
            </w:tcBorders>
            <w:shd w:val="clear" w:color="auto" w:fill="auto"/>
            <w:noWrap/>
            <w:vAlign w:val="center"/>
            <w:hideMark/>
          </w:tcPr>
          <w:p w14:paraId="073F4958"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Monthly</w:t>
            </w:r>
          </w:p>
        </w:tc>
        <w:tc>
          <w:tcPr>
            <w:tcW w:w="1060" w:type="dxa"/>
            <w:tcBorders>
              <w:top w:val="nil"/>
              <w:left w:val="nil"/>
              <w:bottom w:val="single" w:sz="4" w:space="0" w:color="auto"/>
              <w:right w:val="single" w:sz="4" w:space="0" w:color="auto"/>
            </w:tcBorders>
            <w:shd w:val="clear" w:color="auto" w:fill="auto"/>
            <w:noWrap/>
            <w:vAlign w:val="center"/>
            <w:hideMark/>
          </w:tcPr>
          <w:p w14:paraId="21ED5D5B"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TT</w:t>
            </w:r>
          </w:p>
        </w:tc>
        <w:tc>
          <w:tcPr>
            <w:tcW w:w="926" w:type="dxa"/>
            <w:tcBorders>
              <w:top w:val="nil"/>
              <w:left w:val="nil"/>
              <w:bottom w:val="single" w:sz="4" w:space="0" w:color="auto"/>
              <w:right w:val="single" w:sz="4" w:space="0" w:color="auto"/>
            </w:tcBorders>
            <w:shd w:val="clear" w:color="auto" w:fill="auto"/>
            <w:vAlign w:val="center"/>
            <w:hideMark/>
          </w:tcPr>
          <w:p w14:paraId="2A23423A"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25B08091"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1.17</w:t>
            </w:r>
          </w:p>
        </w:tc>
        <w:tc>
          <w:tcPr>
            <w:tcW w:w="989" w:type="dxa"/>
            <w:tcBorders>
              <w:top w:val="nil"/>
              <w:left w:val="nil"/>
              <w:bottom w:val="single" w:sz="4" w:space="0" w:color="auto"/>
              <w:right w:val="single" w:sz="4" w:space="0" w:color="auto"/>
            </w:tcBorders>
            <w:shd w:val="clear" w:color="auto" w:fill="auto"/>
            <w:noWrap/>
            <w:vAlign w:val="center"/>
            <w:hideMark/>
          </w:tcPr>
          <w:p w14:paraId="7F40F7D0"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0.89-1.5</w:t>
            </w:r>
          </w:p>
        </w:tc>
        <w:tc>
          <w:tcPr>
            <w:tcW w:w="3185" w:type="dxa"/>
            <w:tcBorders>
              <w:top w:val="nil"/>
              <w:left w:val="nil"/>
              <w:bottom w:val="single" w:sz="4" w:space="0" w:color="auto"/>
              <w:right w:val="single" w:sz="4" w:space="0" w:color="auto"/>
            </w:tcBorders>
            <w:shd w:val="clear" w:color="auto" w:fill="auto"/>
            <w:vAlign w:val="center"/>
            <w:hideMark/>
          </w:tcPr>
          <w:p w14:paraId="7A6FEF27"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 xml:space="preserve">Decay of naturally-occurring organic matter in the water withdrawn from sources such as lakes and streams </w:t>
            </w:r>
          </w:p>
        </w:tc>
        <w:tc>
          <w:tcPr>
            <w:tcW w:w="960" w:type="dxa"/>
            <w:tcBorders>
              <w:top w:val="nil"/>
              <w:left w:val="nil"/>
              <w:bottom w:val="single" w:sz="4" w:space="0" w:color="auto"/>
              <w:right w:val="single" w:sz="4" w:space="0" w:color="auto"/>
            </w:tcBorders>
            <w:shd w:val="clear" w:color="auto" w:fill="auto"/>
            <w:noWrap/>
            <w:vAlign w:val="center"/>
            <w:hideMark/>
          </w:tcPr>
          <w:p w14:paraId="3336B077"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N/A</w:t>
            </w:r>
          </w:p>
        </w:tc>
      </w:tr>
      <w:tr w:rsidR="003B60BB" w:rsidRPr="003B60BB" w14:paraId="79A232B1" w14:textId="77777777" w:rsidTr="003B60BB">
        <w:trPr>
          <w:trHeight w:val="60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9DE3DE6"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 xml:space="preserve"> Chlorine    (ppm) </w:t>
            </w:r>
          </w:p>
        </w:tc>
        <w:tc>
          <w:tcPr>
            <w:tcW w:w="1080" w:type="dxa"/>
            <w:tcBorders>
              <w:top w:val="nil"/>
              <w:left w:val="nil"/>
              <w:bottom w:val="single" w:sz="4" w:space="0" w:color="auto"/>
              <w:right w:val="single" w:sz="4" w:space="0" w:color="auto"/>
            </w:tcBorders>
            <w:shd w:val="clear" w:color="auto" w:fill="auto"/>
            <w:noWrap/>
            <w:vAlign w:val="center"/>
            <w:hideMark/>
          </w:tcPr>
          <w:p w14:paraId="0DF98423"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Monthly</w:t>
            </w:r>
          </w:p>
        </w:tc>
        <w:tc>
          <w:tcPr>
            <w:tcW w:w="1060" w:type="dxa"/>
            <w:tcBorders>
              <w:top w:val="nil"/>
              <w:left w:val="nil"/>
              <w:bottom w:val="single" w:sz="4" w:space="0" w:color="auto"/>
              <w:right w:val="single" w:sz="4" w:space="0" w:color="auto"/>
            </w:tcBorders>
            <w:shd w:val="clear" w:color="auto" w:fill="auto"/>
            <w:noWrap/>
            <w:vAlign w:val="center"/>
            <w:hideMark/>
          </w:tcPr>
          <w:p w14:paraId="384EF58D"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MRDL=4</w:t>
            </w:r>
          </w:p>
        </w:tc>
        <w:tc>
          <w:tcPr>
            <w:tcW w:w="926" w:type="dxa"/>
            <w:tcBorders>
              <w:top w:val="nil"/>
              <w:left w:val="nil"/>
              <w:bottom w:val="single" w:sz="4" w:space="0" w:color="auto"/>
              <w:right w:val="single" w:sz="4" w:space="0" w:color="auto"/>
            </w:tcBorders>
            <w:shd w:val="clear" w:color="auto" w:fill="auto"/>
            <w:vAlign w:val="center"/>
            <w:hideMark/>
          </w:tcPr>
          <w:p w14:paraId="482EFCF6"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MRDLG=4</w:t>
            </w:r>
          </w:p>
        </w:tc>
        <w:tc>
          <w:tcPr>
            <w:tcW w:w="1260" w:type="dxa"/>
            <w:tcBorders>
              <w:top w:val="nil"/>
              <w:left w:val="nil"/>
              <w:bottom w:val="single" w:sz="4" w:space="0" w:color="auto"/>
              <w:right w:val="single" w:sz="4" w:space="0" w:color="auto"/>
            </w:tcBorders>
            <w:shd w:val="clear" w:color="auto" w:fill="auto"/>
            <w:noWrap/>
            <w:vAlign w:val="center"/>
            <w:hideMark/>
          </w:tcPr>
          <w:p w14:paraId="4DAB41EF"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2.15</w:t>
            </w:r>
          </w:p>
        </w:tc>
        <w:tc>
          <w:tcPr>
            <w:tcW w:w="989" w:type="dxa"/>
            <w:tcBorders>
              <w:top w:val="nil"/>
              <w:left w:val="nil"/>
              <w:bottom w:val="single" w:sz="4" w:space="0" w:color="auto"/>
              <w:right w:val="single" w:sz="4" w:space="0" w:color="auto"/>
            </w:tcBorders>
            <w:shd w:val="clear" w:color="auto" w:fill="auto"/>
            <w:noWrap/>
            <w:vAlign w:val="center"/>
            <w:hideMark/>
          </w:tcPr>
          <w:p w14:paraId="3E0D3C20"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0.58-2.15</w:t>
            </w:r>
          </w:p>
        </w:tc>
        <w:tc>
          <w:tcPr>
            <w:tcW w:w="3185" w:type="dxa"/>
            <w:tcBorders>
              <w:top w:val="nil"/>
              <w:left w:val="nil"/>
              <w:bottom w:val="single" w:sz="4" w:space="0" w:color="auto"/>
              <w:right w:val="single" w:sz="4" w:space="0" w:color="auto"/>
            </w:tcBorders>
            <w:shd w:val="clear" w:color="auto" w:fill="auto"/>
            <w:vAlign w:val="center"/>
            <w:hideMark/>
          </w:tcPr>
          <w:p w14:paraId="1CC86A59"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Drinking Water Disinfectant</w:t>
            </w:r>
          </w:p>
        </w:tc>
        <w:tc>
          <w:tcPr>
            <w:tcW w:w="960" w:type="dxa"/>
            <w:tcBorders>
              <w:top w:val="nil"/>
              <w:left w:val="nil"/>
              <w:bottom w:val="single" w:sz="4" w:space="0" w:color="auto"/>
              <w:right w:val="single" w:sz="4" w:space="0" w:color="auto"/>
            </w:tcBorders>
            <w:shd w:val="clear" w:color="auto" w:fill="auto"/>
            <w:noWrap/>
            <w:vAlign w:val="center"/>
            <w:hideMark/>
          </w:tcPr>
          <w:p w14:paraId="4FA4A030"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No</w:t>
            </w:r>
          </w:p>
        </w:tc>
      </w:tr>
      <w:tr w:rsidR="003B60BB" w:rsidRPr="003B60BB" w14:paraId="255C5E56" w14:textId="77777777" w:rsidTr="003B60BB">
        <w:trPr>
          <w:trHeight w:val="60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E7FA7A9"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Bromate    (ppb)</w:t>
            </w:r>
          </w:p>
        </w:tc>
        <w:tc>
          <w:tcPr>
            <w:tcW w:w="1080" w:type="dxa"/>
            <w:tcBorders>
              <w:top w:val="nil"/>
              <w:left w:val="nil"/>
              <w:bottom w:val="single" w:sz="4" w:space="0" w:color="auto"/>
              <w:right w:val="single" w:sz="4" w:space="0" w:color="auto"/>
            </w:tcBorders>
            <w:shd w:val="clear" w:color="auto" w:fill="auto"/>
            <w:noWrap/>
            <w:vAlign w:val="center"/>
            <w:hideMark/>
          </w:tcPr>
          <w:p w14:paraId="624FE5DE"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Monthly</w:t>
            </w:r>
          </w:p>
        </w:tc>
        <w:tc>
          <w:tcPr>
            <w:tcW w:w="1060" w:type="dxa"/>
            <w:tcBorders>
              <w:top w:val="nil"/>
              <w:left w:val="nil"/>
              <w:bottom w:val="single" w:sz="4" w:space="0" w:color="auto"/>
              <w:right w:val="single" w:sz="4" w:space="0" w:color="auto"/>
            </w:tcBorders>
            <w:shd w:val="clear" w:color="auto" w:fill="auto"/>
            <w:noWrap/>
            <w:vAlign w:val="center"/>
            <w:hideMark/>
          </w:tcPr>
          <w:p w14:paraId="2E326FEF"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10</w:t>
            </w:r>
          </w:p>
        </w:tc>
        <w:tc>
          <w:tcPr>
            <w:tcW w:w="926" w:type="dxa"/>
            <w:tcBorders>
              <w:top w:val="nil"/>
              <w:left w:val="nil"/>
              <w:bottom w:val="single" w:sz="4" w:space="0" w:color="auto"/>
              <w:right w:val="single" w:sz="4" w:space="0" w:color="auto"/>
            </w:tcBorders>
            <w:shd w:val="clear" w:color="auto" w:fill="auto"/>
            <w:vAlign w:val="center"/>
            <w:hideMark/>
          </w:tcPr>
          <w:p w14:paraId="5FFCE815"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0</w:t>
            </w:r>
          </w:p>
        </w:tc>
        <w:tc>
          <w:tcPr>
            <w:tcW w:w="1260" w:type="dxa"/>
            <w:tcBorders>
              <w:top w:val="nil"/>
              <w:left w:val="nil"/>
              <w:bottom w:val="single" w:sz="4" w:space="0" w:color="auto"/>
              <w:right w:val="single" w:sz="4" w:space="0" w:color="auto"/>
            </w:tcBorders>
            <w:shd w:val="clear" w:color="auto" w:fill="auto"/>
            <w:noWrap/>
            <w:vAlign w:val="center"/>
            <w:hideMark/>
          </w:tcPr>
          <w:p w14:paraId="046059AE"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&lt;5.0</w:t>
            </w:r>
          </w:p>
        </w:tc>
        <w:tc>
          <w:tcPr>
            <w:tcW w:w="989" w:type="dxa"/>
            <w:tcBorders>
              <w:top w:val="nil"/>
              <w:left w:val="nil"/>
              <w:bottom w:val="single" w:sz="4" w:space="0" w:color="auto"/>
              <w:right w:val="single" w:sz="4" w:space="0" w:color="auto"/>
            </w:tcBorders>
            <w:shd w:val="clear" w:color="auto" w:fill="auto"/>
            <w:noWrap/>
            <w:vAlign w:val="center"/>
            <w:hideMark/>
          </w:tcPr>
          <w:p w14:paraId="7F5D18D6"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&lt;5.0-6.1</w:t>
            </w:r>
          </w:p>
        </w:tc>
        <w:tc>
          <w:tcPr>
            <w:tcW w:w="3185" w:type="dxa"/>
            <w:tcBorders>
              <w:top w:val="nil"/>
              <w:left w:val="nil"/>
              <w:bottom w:val="single" w:sz="4" w:space="0" w:color="auto"/>
              <w:right w:val="single" w:sz="4" w:space="0" w:color="auto"/>
            </w:tcBorders>
            <w:shd w:val="clear" w:color="auto" w:fill="auto"/>
            <w:vAlign w:val="center"/>
            <w:hideMark/>
          </w:tcPr>
          <w:p w14:paraId="318EC586"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By-product of drinking water disinfection utilizing ozone</w:t>
            </w:r>
          </w:p>
        </w:tc>
        <w:tc>
          <w:tcPr>
            <w:tcW w:w="960" w:type="dxa"/>
            <w:tcBorders>
              <w:top w:val="nil"/>
              <w:left w:val="nil"/>
              <w:bottom w:val="single" w:sz="4" w:space="0" w:color="auto"/>
              <w:right w:val="single" w:sz="4" w:space="0" w:color="auto"/>
            </w:tcBorders>
            <w:shd w:val="clear" w:color="auto" w:fill="auto"/>
            <w:noWrap/>
            <w:vAlign w:val="center"/>
            <w:hideMark/>
          </w:tcPr>
          <w:p w14:paraId="4D3C8237"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No</w:t>
            </w:r>
          </w:p>
        </w:tc>
      </w:tr>
      <w:tr w:rsidR="003B60BB" w:rsidRPr="003B60BB" w14:paraId="6955E87F" w14:textId="77777777" w:rsidTr="003B60BB">
        <w:trPr>
          <w:trHeight w:val="300"/>
        </w:trPr>
        <w:tc>
          <w:tcPr>
            <w:tcW w:w="110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39BC15D" w14:textId="77777777" w:rsidR="003B60BB" w:rsidRPr="003B60BB" w:rsidRDefault="003B60BB" w:rsidP="003B60BB">
            <w:pPr>
              <w:spacing w:after="0" w:line="240" w:lineRule="auto"/>
              <w:rPr>
                <w:rFonts w:ascii="Calibri" w:eastAsia="Times New Roman" w:hAnsi="Calibri" w:cs="Calibri"/>
                <w:color w:val="000000"/>
                <w:sz w:val="20"/>
                <w:szCs w:val="20"/>
              </w:rPr>
            </w:pPr>
            <w:r w:rsidRPr="003B60BB">
              <w:rPr>
                <w:rFonts w:ascii="Calibri" w:eastAsia="Times New Roman" w:hAnsi="Calibri" w:cs="Calibri"/>
                <w:color w:val="000000"/>
                <w:sz w:val="20"/>
                <w:szCs w:val="20"/>
                <w:vertAlign w:val="superscript"/>
              </w:rPr>
              <w:t>5</w:t>
            </w:r>
            <w:r w:rsidRPr="003B60BB">
              <w:rPr>
                <w:rFonts w:ascii="Calibri" w:eastAsia="Times New Roman" w:hAnsi="Calibri" w:cs="Calibri"/>
                <w:color w:val="000000"/>
                <w:sz w:val="20"/>
                <w:szCs w:val="20"/>
              </w:rPr>
              <w:t>LRAA= Locational Running Annual Average</w:t>
            </w:r>
          </w:p>
        </w:tc>
      </w:tr>
      <w:tr w:rsidR="003B60BB" w:rsidRPr="003B60BB" w14:paraId="67BC2B97" w14:textId="77777777" w:rsidTr="003B60BB">
        <w:trPr>
          <w:trHeight w:val="300"/>
        </w:trPr>
        <w:tc>
          <w:tcPr>
            <w:tcW w:w="1540" w:type="dxa"/>
            <w:tcBorders>
              <w:top w:val="nil"/>
              <w:left w:val="nil"/>
              <w:bottom w:val="nil"/>
              <w:right w:val="nil"/>
            </w:tcBorders>
            <w:shd w:val="clear" w:color="auto" w:fill="auto"/>
            <w:vAlign w:val="center"/>
            <w:hideMark/>
          </w:tcPr>
          <w:p w14:paraId="1FC53691" w14:textId="77777777" w:rsidR="003B60BB" w:rsidRPr="003B60BB" w:rsidRDefault="003B60BB" w:rsidP="003B60BB">
            <w:pPr>
              <w:spacing w:after="0" w:line="240" w:lineRule="auto"/>
              <w:rPr>
                <w:rFonts w:ascii="Calibri" w:eastAsia="Times New Roman" w:hAnsi="Calibri" w:cs="Calibri"/>
                <w:color w:val="000000"/>
                <w:sz w:val="20"/>
                <w:szCs w:val="20"/>
              </w:rPr>
            </w:pPr>
          </w:p>
        </w:tc>
        <w:tc>
          <w:tcPr>
            <w:tcW w:w="1080" w:type="dxa"/>
            <w:tcBorders>
              <w:top w:val="nil"/>
              <w:left w:val="nil"/>
              <w:bottom w:val="nil"/>
              <w:right w:val="nil"/>
            </w:tcBorders>
            <w:shd w:val="clear" w:color="auto" w:fill="auto"/>
            <w:noWrap/>
            <w:vAlign w:val="center"/>
            <w:hideMark/>
          </w:tcPr>
          <w:p w14:paraId="6BCB17C3"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center"/>
            <w:hideMark/>
          </w:tcPr>
          <w:p w14:paraId="695B91CB"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26" w:type="dxa"/>
            <w:tcBorders>
              <w:top w:val="nil"/>
              <w:left w:val="nil"/>
              <w:bottom w:val="nil"/>
              <w:right w:val="nil"/>
            </w:tcBorders>
            <w:shd w:val="clear" w:color="auto" w:fill="auto"/>
            <w:vAlign w:val="center"/>
            <w:hideMark/>
          </w:tcPr>
          <w:p w14:paraId="78F4FF9F"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center"/>
            <w:hideMark/>
          </w:tcPr>
          <w:p w14:paraId="69FF5FA9"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center"/>
            <w:hideMark/>
          </w:tcPr>
          <w:p w14:paraId="0505BBA0"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3185" w:type="dxa"/>
            <w:tcBorders>
              <w:top w:val="nil"/>
              <w:left w:val="nil"/>
              <w:bottom w:val="nil"/>
              <w:right w:val="nil"/>
            </w:tcBorders>
            <w:shd w:val="clear" w:color="auto" w:fill="auto"/>
            <w:noWrap/>
            <w:vAlign w:val="center"/>
            <w:hideMark/>
          </w:tcPr>
          <w:p w14:paraId="47FBABD0"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1CFB175E"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r>
      <w:tr w:rsidR="003B60BB" w:rsidRPr="003B60BB" w14:paraId="3C747F04" w14:textId="77777777" w:rsidTr="003B60BB">
        <w:trPr>
          <w:trHeight w:val="300"/>
        </w:trPr>
        <w:tc>
          <w:tcPr>
            <w:tcW w:w="1540" w:type="dxa"/>
            <w:tcBorders>
              <w:top w:val="nil"/>
              <w:left w:val="nil"/>
              <w:bottom w:val="nil"/>
              <w:right w:val="nil"/>
            </w:tcBorders>
            <w:shd w:val="clear" w:color="auto" w:fill="auto"/>
            <w:noWrap/>
            <w:vAlign w:val="center"/>
            <w:hideMark/>
          </w:tcPr>
          <w:p w14:paraId="38E133C5"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328BE655"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center"/>
            <w:hideMark/>
          </w:tcPr>
          <w:p w14:paraId="3C101595"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26" w:type="dxa"/>
            <w:tcBorders>
              <w:top w:val="nil"/>
              <w:left w:val="nil"/>
              <w:bottom w:val="nil"/>
              <w:right w:val="nil"/>
            </w:tcBorders>
            <w:shd w:val="clear" w:color="auto" w:fill="auto"/>
            <w:vAlign w:val="center"/>
            <w:hideMark/>
          </w:tcPr>
          <w:p w14:paraId="5018D2A4"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center"/>
            <w:hideMark/>
          </w:tcPr>
          <w:p w14:paraId="6355AB6D"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center"/>
            <w:hideMark/>
          </w:tcPr>
          <w:p w14:paraId="689E6A3C"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3185" w:type="dxa"/>
            <w:tcBorders>
              <w:top w:val="nil"/>
              <w:left w:val="nil"/>
              <w:bottom w:val="nil"/>
              <w:right w:val="nil"/>
            </w:tcBorders>
            <w:shd w:val="clear" w:color="auto" w:fill="auto"/>
            <w:noWrap/>
            <w:vAlign w:val="center"/>
            <w:hideMark/>
          </w:tcPr>
          <w:p w14:paraId="205E6062"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5FA4483F"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r>
      <w:tr w:rsidR="003B60BB" w:rsidRPr="003B60BB" w14:paraId="25D7C8FC" w14:textId="77777777" w:rsidTr="003B60BB">
        <w:trPr>
          <w:trHeight w:val="300"/>
        </w:trPr>
        <w:tc>
          <w:tcPr>
            <w:tcW w:w="11000" w:type="dxa"/>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14:paraId="5C398608" w14:textId="77777777" w:rsidR="003B60BB" w:rsidRPr="003B60BB" w:rsidRDefault="003B60BB" w:rsidP="003B60BB">
            <w:pPr>
              <w:spacing w:after="0" w:line="240" w:lineRule="auto"/>
              <w:jc w:val="center"/>
              <w:rPr>
                <w:rFonts w:ascii="Calibri" w:eastAsia="Times New Roman" w:hAnsi="Calibri" w:cs="Calibri"/>
                <w:b/>
                <w:bCs/>
                <w:color w:val="000000"/>
              </w:rPr>
            </w:pPr>
            <w:r w:rsidRPr="003B60BB">
              <w:rPr>
                <w:rFonts w:ascii="Calibri" w:eastAsia="Times New Roman" w:hAnsi="Calibri" w:cs="Calibri"/>
                <w:b/>
                <w:bCs/>
                <w:color w:val="000000"/>
              </w:rPr>
              <w:t xml:space="preserve">Turbidity </w:t>
            </w:r>
          </w:p>
        </w:tc>
      </w:tr>
      <w:tr w:rsidR="003B60BB" w:rsidRPr="003B60BB" w14:paraId="7F8D85A2" w14:textId="77777777" w:rsidTr="003B60BB">
        <w:trPr>
          <w:trHeight w:val="1500"/>
        </w:trPr>
        <w:tc>
          <w:tcPr>
            <w:tcW w:w="1540" w:type="dxa"/>
            <w:tcBorders>
              <w:top w:val="nil"/>
              <w:left w:val="single" w:sz="4" w:space="0" w:color="auto"/>
              <w:bottom w:val="single" w:sz="4" w:space="0" w:color="auto"/>
              <w:right w:val="single" w:sz="4" w:space="0" w:color="auto"/>
            </w:tcBorders>
            <w:shd w:val="clear" w:color="000000" w:fill="DCE6F1"/>
            <w:vAlign w:val="center"/>
            <w:hideMark/>
          </w:tcPr>
          <w:p w14:paraId="62462A7C"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Substance (Unit)</w:t>
            </w:r>
          </w:p>
        </w:tc>
        <w:tc>
          <w:tcPr>
            <w:tcW w:w="1080" w:type="dxa"/>
            <w:tcBorders>
              <w:top w:val="nil"/>
              <w:left w:val="nil"/>
              <w:bottom w:val="single" w:sz="4" w:space="0" w:color="auto"/>
              <w:right w:val="single" w:sz="4" w:space="0" w:color="auto"/>
            </w:tcBorders>
            <w:shd w:val="clear" w:color="000000" w:fill="DCE6F1"/>
            <w:vAlign w:val="center"/>
            <w:hideMark/>
          </w:tcPr>
          <w:p w14:paraId="38D8C711"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Analysis Frequency</w:t>
            </w:r>
          </w:p>
        </w:tc>
        <w:tc>
          <w:tcPr>
            <w:tcW w:w="1060" w:type="dxa"/>
            <w:tcBorders>
              <w:top w:val="nil"/>
              <w:left w:val="nil"/>
              <w:bottom w:val="single" w:sz="4" w:space="0" w:color="auto"/>
              <w:right w:val="single" w:sz="4" w:space="0" w:color="auto"/>
            </w:tcBorders>
            <w:shd w:val="clear" w:color="000000" w:fill="DCE6F1"/>
            <w:noWrap/>
            <w:vAlign w:val="center"/>
            <w:hideMark/>
          </w:tcPr>
          <w:p w14:paraId="6F599FDB"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MCL</w:t>
            </w:r>
          </w:p>
        </w:tc>
        <w:tc>
          <w:tcPr>
            <w:tcW w:w="926" w:type="dxa"/>
            <w:tcBorders>
              <w:top w:val="nil"/>
              <w:left w:val="nil"/>
              <w:bottom w:val="single" w:sz="4" w:space="0" w:color="auto"/>
              <w:right w:val="single" w:sz="4" w:space="0" w:color="auto"/>
            </w:tcBorders>
            <w:shd w:val="clear" w:color="000000" w:fill="DCE6F1"/>
            <w:vAlign w:val="center"/>
            <w:hideMark/>
          </w:tcPr>
          <w:p w14:paraId="5C5675BD"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MCLG</w:t>
            </w:r>
          </w:p>
        </w:tc>
        <w:tc>
          <w:tcPr>
            <w:tcW w:w="1260" w:type="dxa"/>
            <w:tcBorders>
              <w:top w:val="nil"/>
              <w:left w:val="nil"/>
              <w:bottom w:val="single" w:sz="4" w:space="0" w:color="auto"/>
              <w:right w:val="single" w:sz="4" w:space="0" w:color="auto"/>
            </w:tcBorders>
            <w:shd w:val="clear" w:color="000000" w:fill="DCE6F1"/>
            <w:vAlign w:val="center"/>
            <w:hideMark/>
          </w:tcPr>
          <w:p w14:paraId="7BEFC420"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Highest value reported</w:t>
            </w:r>
          </w:p>
        </w:tc>
        <w:tc>
          <w:tcPr>
            <w:tcW w:w="989" w:type="dxa"/>
            <w:tcBorders>
              <w:top w:val="nil"/>
              <w:left w:val="nil"/>
              <w:bottom w:val="single" w:sz="4" w:space="0" w:color="auto"/>
              <w:right w:val="single" w:sz="4" w:space="0" w:color="auto"/>
            </w:tcBorders>
            <w:shd w:val="clear" w:color="000000" w:fill="DCE6F1"/>
            <w:vAlign w:val="center"/>
            <w:hideMark/>
          </w:tcPr>
          <w:p w14:paraId="3843F21E"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Lowest % of samples meeting limit</w:t>
            </w:r>
          </w:p>
        </w:tc>
        <w:tc>
          <w:tcPr>
            <w:tcW w:w="3185" w:type="dxa"/>
            <w:tcBorders>
              <w:top w:val="nil"/>
              <w:left w:val="nil"/>
              <w:bottom w:val="single" w:sz="4" w:space="0" w:color="auto"/>
              <w:right w:val="single" w:sz="4" w:space="0" w:color="auto"/>
            </w:tcBorders>
            <w:shd w:val="clear" w:color="000000" w:fill="DCE6F1"/>
            <w:noWrap/>
            <w:vAlign w:val="center"/>
            <w:hideMark/>
          </w:tcPr>
          <w:p w14:paraId="21AC315B"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Major Sources</w:t>
            </w:r>
          </w:p>
        </w:tc>
        <w:tc>
          <w:tcPr>
            <w:tcW w:w="960" w:type="dxa"/>
            <w:tcBorders>
              <w:top w:val="nil"/>
              <w:left w:val="nil"/>
              <w:bottom w:val="single" w:sz="4" w:space="0" w:color="auto"/>
              <w:right w:val="single" w:sz="4" w:space="0" w:color="auto"/>
            </w:tcBorders>
            <w:shd w:val="clear" w:color="000000" w:fill="DCE6F1"/>
            <w:noWrap/>
            <w:vAlign w:val="center"/>
            <w:hideMark/>
          </w:tcPr>
          <w:p w14:paraId="65EE3C55"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Violation</w:t>
            </w:r>
          </w:p>
        </w:tc>
      </w:tr>
      <w:tr w:rsidR="003B60BB" w:rsidRPr="003B60BB" w14:paraId="69DE9E29" w14:textId="77777777" w:rsidTr="003B60BB">
        <w:trPr>
          <w:trHeight w:val="12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34C823F"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 xml:space="preserve">Turbidity  (NTU) </w:t>
            </w:r>
          </w:p>
        </w:tc>
        <w:tc>
          <w:tcPr>
            <w:tcW w:w="1080" w:type="dxa"/>
            <w:tcBorders>
              <w:top w:val="nil"/>
              <w:left w:val="nil"/>
              <w:bottom w:val="single" w:sz="4" w:space="0" w:color="auto"/>
              <w:right w:val="single" w:sz="4" w:space="0" w:color="auto"/>
            </w:tcBorders>
            <w:shd w:val="clear" w:color="auto" w:fill="auto"/>
            <w:noWrap/>
            <w:vAlign w:val="center"/>
            <w:hideMark/>
          </w:tcPr>
          <w:p w14:paraId="592DA864"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Continuous</w:t>
            </w:r>
          </w:p>
        </w:tc>
        <w:tc>
          <w:tcPr>
            <w:tcW w:w="1060" w:type="dxa"/>
            <w:tcBorders>
              <w:top w:val="nil"/>
              <w:left w:val="nil"/>
              <w:bottom w:val="single" w:sz="4" w:space="0" w:color="auto"/>
              <w:right w:val="single" w:sz="4" w:space="0" w:color="auto"/>
            </w:tcBorders>
            <w:shd w:val="clear" w:color="auto" w:fill="auto"/>
            <w:vAlign w:val="center"/>
            <w:hideMark/>
          </w:tcPr>
          <w:p w14:paraId="47A1E7C2"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TT, &lt;0.3 in 95% of monthly samples</w:t>
            </w:r>
          </w:p>
        </w:tc>
        <w:tc>
          <w:tcPr>
            <w:tcW w:w="926" w:type="dxa"/>
            <w:tcBorders>
              <w:top w:val="nil"/>
              <w:left w:val="nil"/>
              <w:bottom w:val="single" w:sz="4" w:space="0" w:color="auto"/>
              <w:right w:val="single" w:sz="4" w:space="0" w:color="auto"/>
            </w:tcBorders>
            <w:shd w:val="clear" w:color="auto" w:fill="auto"/>
            <w:vAlign w:val="center"/>
            <w:hideMark/>
          </w:tcPr>
          <w:p w14:paraId="2944D8BE"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0</w:t>
            </w:r>
          </w:p>
        </w:tc>
        <w:tc>
          <w:tcPr>
            <w:tcW w:w="1260" w:type="dxa"/>
            <w:tcBorders>
              <w:top w:val="nil"/>
              <w:left w:val="nil"/>
              <w:bottom w:val="single" w:sz="4" w:space="0" w:color="auto"/>
              <w:right w:val="single" w:sz="4" w:space="0" w:color="auto"/>
            </w:tcBorders>
            <w:shd w:val="clear" w:color="auto" w:fill="auto"/>
            <w:noWrap/>
            <w:vAlign w:val="center"/>
            <w:hideMark/>
          </w:tcPr>
          <w:p w14:paraId="513BADA4"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0.17</w:t>
            </w:r>
          </w:p>
        </w:tc>
        <w:tc>
          <w:tcPr>
            <w:tcW w:w="989" w:type="dxa"/>
            <w:tcBorders>
              <w:top w:val="nil"/>
              <w:left w:val="nil"/>
              <w:bottom w:val="single" w:sz="4" w:space="0" w:color="auto"/>
              <w:right w:val="single" w:sz="4" w:space="0" w:color="auto"/>
            </w:tcBorders>
            <w:shd w:val="clear" w:color="auto" w:fill="auto"/>
            <w:noWrap/>
            <w:vAlign w:val="center"/>
            <w:hideMark/>
          </w:tcPr>
          <w:p w14:paraId="79814464"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100</w:t>
            </w:r>
          </w:p>
        </w:tc>
        <w:tc>
          <w:tcPr>
            <w:tcW w:w="3185" w:type="dxa"/>
            <w:tcBorders>
              <w:top w:val="nil"/>
              <w:left w:val="nil"/>
              <w:bottom w:val="single" w:sz="4" w:space="0" w:color="auto"/>
              <w:right w:val="single" w:sz="4" w:space="0" w:color="auto"/>
            </w:tcBorders>
            <w:shd w:val="clear" w:color="auto" w:fill="auto"/>
            <w:noWrap/>
            <w:vAlign w:val="center"/>
            <w:hideMark/>
          </w:tcPr>
          <w:p w14:paraId="6F29AC08"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Soil Runoff</w:t>
            </w:r>
          </w:p>
        </w:tc>
        <w:tc>
          <w:tcPr>
            <w:tcW w:w="960" w:type="dxa"/>
            <w:tcBorders>
              <w:top w:val="nil"/>
              <w:left w:val="nil"/>
              <w:bottom w:val="single" w:sz="4" w:space="0" w:color="auto"/>
              <w:right w:val="single" w:sz="4" w:space="0" w:color="auto"/>
            </w:tcBorders>
            <w:shd w:val="clear" w:color="auto" w:fill="auto"/>
            <w:noWrap/>
            <w:vAlign w:val="center"/>
            <w:hideMark/>
          </w:tcPr>
          <w:p w14:paraId="2CB9AAEA"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No</w:t>
            </w:r>
          </w:p>
        </w:tc>
      </w:tr>
      <w:tr w:rsidR="003B60BB" w:rsidRPr="003B60BB" w14:paraId="204465AF" w14:textId="77777777" w:rsidTr="003B60BB">
        <w:trPr>
          <w:trHeight w:val="510"/>
        </w:trPr>
        <w:tc>
          <w:tcPr>
            <w:tcW w:w="110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C666BDB" w14:textId="77777777" w:rsidR="003B60BB" w:rsidRPr="003B60BB" w:rsidRDefault="003B60BB" w:rsidP="003B60BB">
            <w:pPr>
              <w:spacing w:after="0" w:line="240" w:lineRule="auto"/>
              <w:rPr>
                <w:rFonts w:ascii="Calibri" w:eastAsia="Times New Roman" w:hAnsi="Calibri" w:cs="Calibri"/>
                <w:color w:val="000000"/>
                <w:sz w:val="20"/>
                <w:szCs w:val="20"/>
              </w:rPr>
            </w:pPr>
            <w:r w:rsidRPr="003B60BB">
              <w:rPr>
                <w:rFonts w:ascii="Calibri" w:eastAsia="Times New Roman" w:hAnsi="Calibri" w:cs="Calibri"/>
                <w:color w:val="000000"/>
                <w:sz w:val="20"/>
                <w:szCs w:val="20"/>
              </w:rPr>
              <w:t xml:space="preserve">Note: Turbidity is a measure of the cloudiness of the water. It is monitored because it is a good indicator of water quality. High turbidity can hinder the effectiveness of disinfectants. </w:t>
            </w:r>
          </w:p>
        </w:tc>
      </w:tr>
      <w:tr w:rsidR="003B60BB" w:rsidRPr="003B60BB" w14:paraId="3E02BAFF" w14:textId="77777777" w:rsidTr="003B60BB">
        <w:trPr>
          <w:trHeight w:val="300"/>
        </w:trPr>
        <w:tc>
          <w:tcPr>
            <w:tcW w:w="1540" w:type="dxa"/>
            <w:tcBorders>
              <w:top w:val="nil"/>
              <w:left w:val="nil"/>
              <w:bottom w:val="nil"/>
              <w:right w:val="nil"/>
            </w:tcBorders>
            <w:shd w:val="clear" w:color="auto" w:fill="auto"/>
            <w:noWrap/>
            <w:vAlign w:val="center"/>
            <w:hideMark/>
          </w:tcPr>
          <w:p w14:paraId="7AFDBC18" w14:textId="77777777" w:rsidR="003B60BB" w:rsidRPr="003B60BB" w:rsidRDefault="003B60BB" w:rsidP="003B60BB">
            <w:pPr>
              <w:spacing w:after="0" w:line="240" w:lineRule="auto"/>
              <w:rPr>
                <w:rFonts w:ascii="Calibri" w:eastAsia="Times New Roman" w:hAnsi="Calibri" w:cs="Calibri"/>
                <w:color w:val="000000"/>
                <w:sz w:val="20"/>
                <w:szCs w:val="20"/>
              </w:rPr>
            </w:pPr>
          </w:p>
        </w:tc>
        <w:tc>
          <w:tcPr>
            <w:tcW w:w="1080" w:type="dxa"/>
            <w:tcBorders>
              <w:top w:val="nil"/>
              <w:left w:val="nil"/>
              <w:bottom w:val="nil"/>
              <w:right w:val="nil"/>
            </w:tcBorders>
            <w:shd w:val="clear" w:color="auto" w:fill="auto"/>
            <w:noWrap/>
            <w:vAlign w:val="center"/>
            <w:hideMark/>
          </w:tcPr>
          <w:p w14:paraId="7325D688"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center"/>
            <w:hideMark/>
          </w:tcPr>
          <w:p w14:paraId="0DA41C51"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26" w:type="dxa"/>
            <w:tcBorders>
              <w:top w:val="nil"/>
              <w:left w:val="nil"/>
              <w:bottom w:val="nil"/>
              <w:right w:val="nil"/>
            </w:tcBorders>
            <w:shd w:val="clear" w:color="auto" w:fill="auto"/>
            <w:vAlign w:val="center"/>
            <w:hideMark/>
          </w:tcPr>
          <w:p w14:paraId="6BDEFB1B"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center"/>
            <w:hideMark/>
          </w:tcPr>
          <w:p w14:paraId="6454370A"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center"/>
            <w:hideMark/>
          </w:tcPr>
          <w:p w14:paraId="0DD05AC5"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3185" w:type="dxa"/>
            <w:tcBorders>
              <w:top w:val="nil"/>
              <w:left w:val="nil"/>
              <w:bottom w:val="nil"/>
              <w:right w:val="nil"/>
            </w:tcBorders>
            <w:shd w:val="clear" w:color="auto" w:fill="auto"/>
            <w:noWrap/>
            <w:vAlign w:val="center"/>
            <w:hideMark/>
          </w:tcPr>
          <w:p w14:paraId="0D36ECC5"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0F25F3B2"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r>
      <w:tr w:rsidR="003B60BB" w:rsidRPr="003B60BB" w14:paraId="34B9FB3D" w14:textId="77777777" w:rsidTr="003B60BB">
        <w:trPr>
          <w:trHeight w:val="300"/>
        </w:trPr>
        <w:tc>
          <w:tcPr>
            <w:tcW w:w="1540" w:type="dxa"/>
            <w:tcBorders>
              <w:top w:val="nil"/>
              <w:left w:val="nil"/>
              <w:bottom w:val="nil"/>
              <w:right w:val="nil"/>
            </w:tcBorders>
            <w:shd w:val="clear" w:color="auto" w:fill="auto"/>
            <w:noWrap/>
            <w:vAlign w:val="center"/>
            <w:hideMark/>
          </w:tcPr>
          <w:p w14:paraId="09CC9F7B"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0A0EF92B"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center"/>
            <w:hideMark/>
          </w:tcPr>
          <w:p w14:paraId="7B79A508"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26" w:type="dxa"/>
            <w:tcBorders>
              <w:top w:val="nil"/>
              <w:left w:val="nil"/>
              <w:bottom w:val="nil"/>
              <w:right w:val="nil"/>
            </w:tcBorders>
            <w:shd w:val="clear" w:color="auto" w:fill="auto"/>
            <w:vAlign w:val="center"/>
            <w:hideMark/>
          </w:tcPr>
          <w:p w14:paraId="04BD2FE0"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center"/>
            <w:hideMark/>
          </w:tcPr>
          <w:p w14:paraId="68E2638A"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center"/>
            <w:hideMark/>
          </w:tcPr>
          <w:p w14:paraId="501183B1"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3185" w:type="dxa"/>
            <w:tcBorders>
              <w:top w:val="nil"/>
              <w:left w:val="nil"/>
              <w:bottom w:val="nil"/>
              <w:right w:val="nil"/>
            </w:tcBorders>
            <w:shd w:val="clear" w:color="auto" w:fill="auto"/>
            <w:noWrap/>
            <w:vAlign w:val="center"/>
            <w:hideMark/>
          </w:tcPr>
          <w:p w14:paraId="4AF5FFFB"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5A6A227D" w14:textId="77777777" w:rsidR="003B60BB" w:rsidRPr="003B60BB" w:rsidRDefault="003B60BB" w:rsidP="003B60BB">
            <w:pPr>
              <w:spacing w:after="0" w:line="240" w:lineRule="auto"/>
              <w:jc w:val="center"/>
              <w:rPr>
                <w:rFonts w:ascii="Times New Roman" w:eastAsia="Times New Roman" w:hAnsi="Times New Roman" w:cs="Times New Roman"/>
                <w:sz w:val="20"/>
                <w:szCs w:val="20"/>
              </w:rPr>
            </w:pPr>
          </w:p>
        </w:tc>
      </w:tr>
      <w:tr w:rsidR="003B60BB" w:rsidRPr="003B60BB" w14:paraId="2E35D4A2" w14:textId="77777777" w:rsidTr="003B60BB">
        <w:trPr>
          <w:trHeight w:val="300"/>
        </w:trPr>
        <w:tc>
          <w:tcPr>
            <w:tcW w:w="11000" w:type="dxa"/>
            <w:gridSpan w:val="8"/>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DE8273A" w14:textId="77777777" w:rsidR="003B60BB" w:rsidRPr="003B60BB" w:rsidRDefault="003B60BB" w:rsidP="003B60BB">
            <w:pPr>
              <w:spacing w:after="0" w:line="240" w:lineRule="auto"/>
              <w:jc w:val="center"/>
              <w:rPr>
                <w:rFonts w:ascii="Calibri" w:eastAsia="Times New Roman" w:hAnsi="Calibri" w:cs="Calibri"/>
                <w:b/>
                <w:bCs/>
                <w:color w:val="000000"/>
              </w:rPr>
            </w:pPr>
            <w:r w:rsidRPr="003B60BB">
              <w:rPr>
                <w:rFonts w:ascii="Calibri" w:eastAsia="Times New Roman" w:hAnsi="Calibri" w:cs="Calibri"/>
                <w:b/>
                <w:bCs/>
                <w:color w:val="000000"/>
              </w:rPr>
              <w:t xml:space="preserve">Microbiological Contaminants </w:t>
            </w:r>
          </w:p>
        </w:tc>
      </w:tr>
      <w:tr w:rsidR="003B60BB" w:rsidRPr="003B60BB" w14:paraId="3122FA5D" w14:textId="77777777" w:rsidTr="003B60BB">
        <w:trPr>
          <w:trHeight w:val="1200"/>
        </w:trPr>
        <w:tc>
          <w:tcPr>
            <w:tcW w:w="1540" w:type="dxa"/>
            <w:tcBorders>
              <w:top w:val="nil"/>
              <w:left w:val="single" w:sz="4" w:space="0" w:color="auto"/>
              <w:bottom w:val="single" w:sz="4" w:space="0" w:color="auto"/>
              <w:right w:val="single" w:sz="4" w:space="0" w:color="auto"/>
            </w:tcBorders>
            <w:shd w:val="clear" w:color="000000" w:fill="DCE6F1"/>
            <w:vAlign w:val="center"/>
            <w:hideMark/>
          </w:tcPr>
          <w:p w14:paraId="622B084A"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Substance (Unit)</w:t>
            </w:r>
          </w:p>
        </w:tc>
        <w:tc>
          <w:tcPr>
            <w:tcW w:w="1080" w:type="dxa"/>
            <w:tcBorders>
              <w:top w:val="nil"/>
              <w:left w:val="nil"/>
              <w:bottom w:val="single" w:sz="4" w:space="0" w:color="auto"/>
              <w:right w:val="single" w:sz="4" w:space="0" w:color="auto"/>
            </w:tcBorders>
            <w:shd w:val="clear" w:color="000000" w:fill="DCE6F1"/>
            <w:vAlign w:val="center"/>
            <w:hideMark/>
          </w:tcPr>
          <w:p w14:paraId="27E9FCFD"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Analysis Frequency</w:t>
            </w:r>
          </w:p>
        </w:tc>
        <w:tc>
          <w:tcPr>
            <w:tcW w:w="1060" w:type="dxa"/>
            <w:tcBorders>
              <w:top w:val="nil"/>
              <w:left w:val="nil"/>
              <w:bottom w:val="single" w:sz="4" w:space="0" w:color="auto"/>
              <w:right w:val="single" w:sz="4" w:space="0" w:color="auto"/>
            </w:tcBorders>
            <w:shd w:val="clear" w:color="000000" w:fill="DCE6F1"/>
            <w:noWrap/>
            <w:vAlign w:val="center"/>
            <w:hideMark/>
          </w:tcPr>
          <w:p w14:paraId="569B4449"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MCL</w:t>
            </w:r>
          </w:p>
        </w:tc>
        <w:tc>
          <w:tcPr>
            <w:tcW w:w="926" w:type="dxa"/>
            <w:tcBorders>
              <w:top w:val="nil"/>
              <w:left w:val="nil"/>
              <w:bottom w:val="single" w:sz="4" w:space="0" w:color="auto"/>
              <w:right w:val="single" w:sz="4" w:space="0" w:color="auto"/>
            </w:tcBorders>
            <w:shd w:val="clear" w:color="000000" w:fill="DCE6F1"/>
            <w:vAlign w:val="center"/>
            <w:hideMark/>
          </w:tcPr>
          <w:p w14:paraId="1D977E36"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MCLG</w:t>
            </w:r>
          </w:p>
        </w:tc>
        <w:tc>
          <w:tcPr>
            <w:tcW w:w="1260" w:type="dxa"/>
            <w:tcBorders>
              <w:top w:val="nil"/>
              <w:left w:val="nil"/>
              <w:bottom w:val="single" w:sz="4" w:space="0" w:color="auto"/>
              <w:right w:val="single" w:sz="4" w:space="0" w:color="auto"/>
            </w:tcBorders>
            <w:shd w:val="clear" w:color="000000" w:fill="DCE6F1"/>
            <w:vAlign w:val="center"/>
            <w:hideMark/>
          </w:tcPr>
          <w:p w14:paraId="57D1A15A"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 xml:space="preserve">Highest % </w:t>
            </w:r>
            <w:proofErr w:type="spellStart"/>
            <w:r w:rsidRPr="003B60BB">
              <w:rPr>
                <w:rFonts w:ascii="Calibri" w:eastAsia="Times New Roman" w:hAnsi="Calibri" w:cs="Calibri"/>
                <w:color w:val="000000"/>
              </w:rPr>
              <w:t>positve</w:t>
            </w:r>
            <w:proofErr w:type="spellEnd"/>
            <w:r w:rsidRPr="003B60BB">
              <w:rPr>
                <w:rFonts w:ascii="Calibri" w:eastAsia="Times New Roman" w:hAnsi="Calibri" w:cs="Calibri"/>
                <w:color w:val="000000"/>
              </w:rPr>
              <w:t xml:space="preserve"> samples (monthly)</w:t>
            </w:r>
          </w:p>
        </w:tc>
        <w:tc>
          <w:tcPr>
            <w:tcW w:w="989" w:type="dxa"/>
            <w:tcBorders>
              <w:top w:val="nil"/>
              <w:left w:val="nil"/>
              <w:bottom w:val="single" w:sz="4" w:space="0" w:color="auto"/>
              <w:right w:val="single" w:sz="4" w:space="0" w:color="auto"/>
            </w:tcBorders>
            <w:shd w:val="clear" w:color="000000" w:fill="DCE6F1"/>
            <w:noWrap/>
            <w:vAlign w:val="center"/>
            <w:hideMark/>
          </w:tcPr>
          <w:p w14:paraId="2027DB54"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Range</w:t>
            </w:r>
          </w:p>
        </w:tc>
        <w:tc>
          <w:tcPr>
            <w:tcW w:w="3185" w:type="dxa"/>
            <w:tcBorders>
              <w:top w:val="nil"/>
              <w:left w:val="nil"/>
              <w:bottom w:val="single" w:sz="4" w:space="0" w:color="auto"/>
              <w:right w:val="single" w:sz="4" w:space="0" w:color="auto"/>
            </w:tcBorders>
            <w:shd w:val="clear" w:color="000000" w:fill="DCE6F1"/>
            <w:noWrap/>
            <w:vAlign w:val="center"/>
            <w:hideMark/>
          </w:tcPr>
          <w:p w14:paraId="3415F2FE"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Major Sources</w:t>
            </w:r>
          </w:p>
        </w:tc>
        <w:tc>
          <w:tcPr>
            <w:tcW w:w="960" w:type="dxa"/>
            <w:tcBorders>
              <w:top w:val="nil"/>
              <w:left w:val="nil"/>
              <w:bottom w:val="single" w:sz="4" w:space="0" w:color="auto"/>
              <w:right w:val="single" w:sz="4" w:space="0" w:color="auto"/>
            </w:tcBorders>
            <w:shd w:val="clear" w:color="000000" w:fill="DCE6F1"/>
            <w:noWrap/>
            <w:vAlign w:val="center"/>
            <w:hideMark/>
          </w:tcPr>
          <w:p w14:paraId="4917CD12"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Violation</w:t>
            </w:r>
          </w:p>
        </w:tc>
      </w:tr>
      <w:tr w:rsidR="003B60BB" w:rsidRPr="003B60BB" w14:paraId="406A735B" w14:textId="77777777" w:rsidTr="003B60BB">
        <w:trPr>
          <w:trHeight w:val="120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5EB9EEC"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Total Coliform Bacteria</w:t>
            </w:r>
            <w:r w:rsidRPr="003B60BB">
              <w:rPr>
                <w:rFonts w:ascii="Calibri" w:eastAsia="Times New Roman" w:hAnsi="Calibri" w:cs="Calibri"/>
                <w:color w:val="000000"/>
                <w:vertAlign w:val="superscript"/>
              </w:rPr>
              <w:t>6</w:t>
            </w:r>
            <w:r w:rsidRPr="003B60BB">
              <w:rPr>
                <w:rFonts w:ascii="Calibri" w:eastAsia="Times New Roman" w:hAnsi="Calibri" w:cs="Calibri"/>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B3C951B"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Monthly</w:t>
            </w:r>
          </w:p>
        </w:tc>
        <w:tc>
          <w:tcPr>
            <w:tcW w:w="1060" w:type="dxa"/>
            <w:tcBorders>
              <w:top w:val="nil"/>
              <w:left w:val="nil"/>
              <w:bottom w:val="single" w:sz="4" w:space="0" w:color="auto"/>
              <w:right w:val="single" w:sz="4" w:space="0" w:color="auto"/>
            </w:tcBorders>
            <w:shd w:val="clear" w:color="auto" w:fill="auto"/>
            <w:vAlign w:val="center"/>
            <w:hideMark/>
          </w:tcPr>
          <w:p w14:paraId="3E3110B0"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&lt;5% positive samples (monthly)</w:t>
            </w:r>
          </w:p>
        </w:tc>
        <w:tc>
          <w:tcPr>
            <w:tcW w:w="926" w:type="dxa"/>
            <w:tcBorders>
              <w:top w:val="nil"/>
              <w:left w:val="nil"/>
              <w:bottom w:val="single" w:sz="4" w:space="0" w:color="auto"/>
              <w:right w:val="single" w:sz="4" w:space="0" w:color="auto"/>
            </w:tcBorders>
            <w:shd w:val="clear" w:color="auto" w:fill="auto"/>
            <w:vAlign w:val="center"/>
            <w:hideMark/>
          </w:tcPr>
          <w:p w14:paraId="7B5A0EA5"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0</w:t>
            </w:r>
          </w:p>
        </w:tc>
        <w:tc>
          <w:tcPr>
            <w:tcW w:w="1260" w:type="dxa"/>
            <w:tcBorders>
              <w:top w:val="nil"/>
              <w:left w:val="nil"/>
              <w:bottom w:val="single" w:sz="4" w:space="0" w:color="auto"/>
              <w:right w:val="single" w:sz="4" w:space="0" w:color="auto"/>
            </w:tcBorders>
            <w:shd w:val="clear" w:color="auto" w:fill="auto"/>
            <w:noWrap/>
            <w:vAlign w:val="center"/>
            <w:hideMark/>
          </w:tcPr>
          <w:p w14:paraId="48F0C08F"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 xml:space="preserve">0.364%. </w:t>
            </w:r>
          </w:p>
        </w:tc>
        <w:tc>
          <w:tcPr>
            <w:tcW w:w="989" w:type="dxa"/>
            <w:tcBorders>
              <w:top w:val="nil"/>
              <w:left w:val="nil"/>
              <w:bottom w:val="nil"/>
              <w:right w:val="nil"/>
            </w:tcBorders>
            <w:shd w:val="clear" w:color="auto" w:fill="auto"/>
            <w:noWrap/>
            <w:vAlign w:val="center"/>
            <w:hideMark/>
          </w:tcPr>
          <w:p w14:paraId="57180816"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 xml:space="preserve">0-0.364%. </w:t>
            </w:r>
          </w:p>
        </w:tc>
        <w:tc>
          <w:tcPr>
            <w:tcW w:w="3185" w:type="dxa"/>
            <w:tcBorders>
              <w:top w:val="nil"/>
              <w:left w:val="single" w:sz="4" w:space="0" w:color="auto"/>
              <w:bottom w:val="single" w:sz="4" w:space="0" w:color="auto"/>
              <w:right w:val="single" w:sz="4" w:space="0" w:color="auto"/>
            </w:tcBorders>
            <w:shd w:val="clear" w:color="auto" w:fill="auto"/>
            <w:vAlign w:val="center"/>
            <w:hideMark/>
          </w:tcPr>
          <w:p w14:paraId="4FFB2189"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 xml:space="preserve">Naturally present in the environment </w:t>
            </w:r>
          </w:p>
        </w:tc>
        <w:tc>
          <w:tcPr>
            <w:tcW w:w="960" w:type="dxa"/>
            <w:tcBorders>
              <w:top w:val="nil"/>
              <w:left w:val="nil"/>
              <w:bottom w:val="single" w:sz="4" w:space="0" w:color="auto"/>
              <w:right w:val="single" w:sz="4" w:space="0" w:color="auto"/>
            </w:tcBorders>
            <w:shd w:val="clear" w:color="auto" w:fill="auto"/>
            <w:noWrap/>
            <w:vAlign w:val="center"/>
            <w:hideMark/>
          </w:tcPr>
          <w:p w14:paraId="70427409" w14:textId="77777777" w:rsidR="003B60BB" w:rsidRPr="003B60BB" w:rsidRDefault="003B60BB" w:rsidP="003B60BB">
            <w:pPr>
              <w:spacing w:after="0" w:line="240" w:lineRule="auto"/>
              <w:jc w:val="center"/>
              <w:rPr>
                <w:rFonts w:ascii="Calibri" w:eastAsia="Times New Roman" w:hAnsi="Calibri" w:cs="Calibri"/>
                <w:color w:val="000000"/>
              </w:rPr>
            </w:pPr>
            <w:r w:rsidRPr="003B60BB">
              <w:rPr>
                <w:rFonts w:ascii="Calibri" w:eastAsia="Times New Roman" w:hAnsi="Calibri" w:cs="Calibri"/>
                <w:color w:val="000000"/>
              </w:rPr>
              <w:t>No</w:t>
            </w:r>
          </w:p>
        </w:tc>
      </w:tr>
      <w:tr w:rsidR="003B60BB" w:rsidRPr="003B60BB" w14:paraId="5B388EA3" w14:textId="77777777" w:rsidTr="003B60BB">
        <w:trPr>
          <w:trHeight w:val="330"/>
        </w:trPr>
        <w:tc>
          <w:tcPr>
            <w:tcW w:w="1100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D84E16" w14:textId="77777777" w:rsidR="003B60BB" w:rsidRPr="003B60BB" w:rsidRDefault="003B60BB" w:rsidP="003B60BB">
            <w:pPr>
              <w:spacing w:after="0" w:line="240" w:lineRule="auto"/>
              <w:rPr>
                <w:rFonts w:ascii="Calibri" w:eastAsia="Times New Roman" w:hAnsi="Calibri" w:cs="Calibri"/>
                <w:color w:val="000000"/>
                <w:sz w:val="20"/>
                <w:szCs w:val="20"/>
              </w:rPr>
            </w:pPr>
            <w:r w:rsidRPr="003B60BB">
              <w:rPr>
                <w:rFonts w:ascii="Calibri" w:eastAsia="Times New Roman" w:hAnsi="Calibri" w:cs="Calibri"/>
                <w:color w:val="000000"/>
                <w:sz w:val="20"/>
                <w:szCs w:val="20"/>
                <w:vertAlign w:val="superscript"/>
              </w:rPr>
              <w:t>6</w:t>
            </w:r>
            <w:r w:rsidRPr="003B60BB">
              <w:rPr>
                <w:rFonts w:ascii="Calibri" w:eastAsia="Times New Roman" w:hAnsi="Calibri" w:cs="Calibri"/>
                <w:color w:val="000000"/>
                <w:sz w:val="20"/>
                <w:szCs w:val="20"/>
              </w:rPr>
              <w:t xml:space="preserve"> 270 samples taken monthly </w:t>
            </w:r>
          </w:p>
        </w:tc>
      </w:tr>
    </w:tbl>
    <w:p w14:paraId="5BD783A7" w14:textId="5785F099" w:rsidR="003B60BB" w:rsidRPr="002E104C" w:rsidRDefault="003B60BB" w:rsidP="002E104C">
      <w:pPr>
        <w:spacing w:after="160" w:line="259" w:lineRule="auto"/>
        <w:rPr>
          <w:rFonts w:ascii="Times New Roman" w:eastAsia="Times New Roman" w:hAnsi="Times New Roman" w:cs="Times New Roman"/>
          <w:color w:val="000000"/>
        </w:rPr>
        <w:sectPr w:rsidR="003B60BB" w:rsidRPr="002E104C">
          <w:type w:val="continuous"/>
          <w:pgSz w:w="12240" w:h="15840"/>
          <w:pgMar w:top="939" w:right="1745" w:bottom="1440" w:left="848" w:header="720" w:footer="720" w:gutter="0"/>
          <w:cols w:space="720"/>
        </w:sectPr>
      </w:pPr>
    </w:p>
    <w:p w14:paraId="75E27D80" w14:textId="77777777" w:rsidR="002E104C" w:rsidRPr="002E104C" w:rsidRDefault="002E104C" w:rsidP="002E104C">
      <w:pPr>
        <w:spacing w:after="304" w:line="259" w:lineRule="auto"/>
        <w:ind w:left="2026"/>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rPr>
        <w:lastRenderedPageBreak/>
        <w:t>samples/month</w:t>
      </w:r>
    </w:p>
    <w:p w14:paraId="0CF57D8E" w14:textId="77777777" w:rsidR="002E104C" w:rsidRPr="002E104C" w:rsidRDefault="002E104C" w:rsidP="002E104C">
      <w:pPr>
        <w:spacing w:after="5" w:line="259" w:lineRule="auto"/>
        <w:ind w:right="158"/>
        <w:jc w:val="right"/>
        <w:rPr>
          <w:rFonts w:ascii="Times New Roman" w:eastAsia="Times New Roman" w:hAnsi="Times New Roman" w:cs="Times New Roman"/>
          <w:color w:val="000000"/>
        </w:rPr>
      </w:pPr>
      <w:r w:rsidRPr="002E104C">
        <w:rPr>
          <w:rFonts w:ascii="Times New Roman" w:eastAsia="Times New Roman" w:hAnsi="Times New Roman" w:cs="Times New Roman"/>
          <w:color w:val="000000"/>
          <w:sz w:val="26"/>
        </w:rPr>
        <w:t>MICROBIOLOGICAL</w:t>
      </w:r>
    </w:p>
    <w:p w14:paraId="40DE7359" w14:textId="77777777" w:rsidR="002E104C" w:rsidRPr="002E104C" w:rsidRDefault="002E104C" w:rsidP="002E104C">
      <w:pPr>
        <w:spacing w:after="79" w:line="259" w:lineRule="auto"/>
        <w:ind w:left="-8" w:firstLine="4331"/>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u w:val="single" w:color="000000"/>
        </w:rPr>
        <w:t># of S stem</w:t>
      </w:r>
      <w:r w:rsidRPr="002E104C">
        <w:rPr>
          <w:rFonts w:ascii="Times New Roman" w:eastAsia="Times New Roman" w:hAnsi="Times New Roman" w:cs="Times New Roman"/>
          <w:color w:val="000000"/>
          <w:sz w:val="20"/>
          <w:u w:val="single" w:color="000000"/>
        </w:rPr>
        <w:tab/>
        <w:t>Violation Substance</w:t>
      </w:r>
      <w:r w:rsidRPr="002E104C">
        <w:rPr>
          <w:rFonts w:ascii="Times New Roman" w:eastAsia="Times New Roman" w:hAnsi="Times New Roman" w:cs="Times New Roman"/>
          <w:color w:val="000000"/>
          <w:sz w:val="20"/>
          <w:u w:val="single" w:color="000000"/>
        </w:rPr>
        <w:tab/>
        <w:t>MCL</w:t>
      </w:r>
      <w:r w:rsidRPr="002E104C">
        <w:rPr>
          <w:rFonts w:ascii="Times New Roman" w:eastAsia="Times New Roman" w:hAnsi="Times New Roman" w:cs="Times New Roman"/>
          <w:color w:val="000000"/>
          <w:sz w:val="20"/>
          <w:u w:val="single" w:color="000000"/>
        </w:rPr>
        <w:tab/>
        <w:t>MCLG</w:t>
      </w:r>
      <w:r w:rsidRPr="002E104C">
        <w:rPr>
          <w:rFonts w:ascii="Times New Roman" w:eastAsia="Times New Roman" w:hAnsi="Times New Roman" w:cs="Times New Roman"/>
          <w:color w:val="000000"/>
          <w:sz w:val="20"/>
          <w:u w:val="single" w:color="000000"/>
        </w:rPr>
        <w:tab/>
        <w:t>Positive Results</w:t>
      </w:r>
      <w:r w:rsidRPr="002E104C">
        <w:rPr>
          <w:rFonts w:ascii="Times New Roman" w:eastAsia="Times New Roman" w:hAnsi="Times New Roman" w:cs="Times New Roman"/>
          <w:color w:val="000000"/>
          <w:sz w:val="20"/>
        </w:rPr>
        <w:t xml:space="preserve"> </w:t>
      </w:r>
      <w:r w:rsidRPr="002E104C">
        <w:rPr>
          <w:rFonts w:ascii="Times New Roman" w:eastAsia="Times New Roman" w:hAnsi="Times New Roman" w:cs="Times New Roman"/>
          <w:color w:val="000000"/>
          <w:sz w:val="20"/>
          <w:u w:val="single" w:color="000000"/>
        </w:rPr>
        <w:t>(YES/NO)</w:t>
      </w:r>
    </w:p>
    <w:p w14:paraId="30FBF11A" w14:textId="77777777" w:rsidR="002E104C" w:rsidRPr="002E104C" w:rsidRDefault="002E104C" w:rsidP="002E104C">
      <w:pPr>
        <w:keepNext/>
        <w:keepLines/>
        <w:tabs>
          <w:tab w:val="center" w:pos="2751"/>
          <w:tab w:val="center" w:pos="3556"/>
          <w:tab w:val="center" w:pos="6199"/>
        </w:tabs>
        <w:spacing w:after="80" w:line="265" w:lineRule="auto"/>
        <w:ind w:left="-15"/>
        <w:outlineLvl w:val="1"/>
        <w:rPr>
          <w:rFonts w:ascii="Times New Roman" w:eastAsia="Times New Roman" w:hAnsi="Times New Roman" w:cs="Times New Roman"/>
          <w:color w:val="000000"/>
          <w:u w:val="single" w:color="000000"/>
        </w:rPr>
      </w:pPr>
      <w:r w:rsidRPr="002E104C">
        <w:rPr>
          <w:rFonts w:ascii="Times New Roman" w:eastAsia="Times New Roman" w:hAnsi="Times New Roman" w:cs="Times New Roman"/>
          <w:color w:val="000000"/>
          <w:u w:val="single" w:color="000000"/>
        </w:rPr>
        <w:t xml:space="preserve">Total </w:t>
      </w:r>
      <w:proofErr w:type="spellStart"/>
      <w:r w:rsidRPr="002E104C">
        <w:rPr>
          <w:rFonts w:ascii="Times New Roman" w:eastAsia="Times New Roman" w:hAnsi="Times New Roman" w:cs="Times New Roman"/>
          <w:color w:val="000000"/>
          <w:u w:val="single" w:color="000000"/>
        </w:rPr>
        <w:t>Coliforrn</w:t>
      </w:r>
      <w:proofErr w:type="spellEnd"/>
      <w:r w:rsidRPr="002E104C">
        <w:rPr>
          <w:rFonts w:ascii="Times New Roman" w:eastAsia="Times New Roman" w:hAnsi="Times New Roman" w:cs="Times New Roman"/>
          <w:color w:val="000000"/>
          <w:u w:val="single" w:color="000000"/>
        </w:rPr>
        <w:t xml:space="preserve"> Bacteria</w:t>
      </w:r>
      <w:r w:rsidRPr="002E104C">
        <w:rPr>
          <w:rFonts w:ascii="Times New Roman" w:eastAsia="Times New Roman" w:hAnsi="Times New Roman" w:cs="Times New Roman"/>
          <w:color w:val="000000"/>
          <w:u w:val="single" w:color="000000"/>
        </w:rPr>
        <w:tab/>
      </w:r>
      <w:r w:rsidRPr="002E104C">
        <w:rPr>
          <w:rFonts w:ascii="Times New Roman" w:eastAsia="Times New Roman" w:hAnsi="Times New Roman" w:cs="Times New Roman"/>
          <w:color w:val="000000"/>
          <w:u w:color="000000"/>
        </w:rPr>
        <w:t>O</w:t>
      </w:r>
      <w:r w:rsidRPr="002E104C">
        <w:rPr>
          <w:rFonts w:ascii="Times New Roman" w:eastAsia="Times New Roman" w:hAnsi="Times New Roman" w:cs="Times New Roman"/>
          <w:color w:val="000000"/>
          <w:u w:color="000000"/>
        </w:rPr>
        <w:tab/>
        <w:t>0</w:t>
      </w:r>
      <w:r w:rsidRPr="002E104C">
        <w:rPr>
          <w:rFonts w:ascii="Times New Roman" w:eastAsia="Times New Roman" w:hAnsi="Times New Roman" w:cs="Times New Roman"/>
          <w:color w:val="000000"/>
          <w:u w:color="000000"/>
        </w:rPr>
        <w:tab/>
        <w:t>NO</w:t>
      </w:r>
    </w:p>
    <w:p w14:paraId="4C5D4F22" w14:textId="77777777" w:rsidR="002E104C" w:rsidRPr="002E104C" w:rsidRDefault="002E104C" w:rsidP="002E104C">
      <w:pPr>
        <w:spacing w:after="0" w:line="321" w:lineRule="auto"/>
        <w:jc w:val="right"/>
        <w:rPr>
          <w:rFonts w:ascii="Times New Roman" w:eastAsia="Times New Roman" w:hAnsi="Times New Roman" w:cs="Times New Roman"/>
          <w:color w:val="000000"/>
        </w:rPr>
      </w:pPr>
      <w:r w:rsidRPr="002E104C">
        <w:rPr>
          <w:rFonts w:ascii="Times New Roman" w:eastAsia="Times New Roman" w:hAnsi="Times New Roman" w:cs="Times New Roman"/>
          <w:color w:val="000000"/>
          <w:sz w:val="20"/>
          <w:u w:val="single" w:color="000000"/>
        </w:rPr>
        <w:t xml:space="preserve">Source in Drinking Water </w:t>
      </w:r>
      <w:r w:rsidRPr="002E104C">
        <w:rPr>
          <w:rFonts w:ascii="Times New Roman" w:eastAsia="Times New Roman" w:hAnsi="Times New Roman" w:cs="Times New Roman"/>
          <w:color w:val="000000"/>
          <w:sz w:val="20"/>
        </w:rPr>
        <w:t>Naturally present in the environment.</w:t>
      </w:r>
    </w:p>
    <w:p w14:paraId="0570ADC1" w14:textId="77777777" w:rsidR="000A045F" w:rsidRDefault="000A045F"/>
    <w:sectPr w:rsidR="000A0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ymbolMT">
    <w:altName w:val="Malgun Gothic Semi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Bold">
    <w:altName w:val="Georgia"/>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FD"/>
    <w:rsid w:val="000A045F"/>
    <w:rsid w:val="000C59E0"/>
    <w:rsid w:val="002079C7"/>
    <w:rsid w:val="002E104C"/>
    <w:rsid w:val="003B60BB"/>
    <w:rsid w:val="004D2EA4"/>
    <w:rsid w:val="007B4120"/>
    <w:rsid w:val="007C17CC"/>
    <w:rsid w:val="008157FD"/>
    <w:rsid w:val="00A6302E"/>
    <w:rsid w:val="00C8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DA79"/>
  <w15:chartTrackingRefBased/>
  <w15:docId w15:val="{61A8B138-B238-467A-AF15-3C4AC159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7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57FD"/>
    <w:rPr>
      <w:color w:val="0563C1" w:themeColor="hyperlink"/>
      <w:u w:val="single"/>
    </w:rPr>
  </w:style>
  <w:style w:type="table" w:customStyle="1" w:styleId="TableGrid">
    <w:name w:val="TableGrid"/>
    <w:rsid w:val="002E104C"/>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B4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659260">
      <w:bodyDiv w:val="1"/>
      <w:marLeft w:val="0"/>
      <w:marRight w:val="0"/>
      <w:marTop w:val="0"/>
      <w:marBottom w:val="0"/>
      <w:divBdr>
        <w:top w:val="none" w:sz="0" w:space="0" w:color="auto"/>
        <w:left w:val="none" w:sz="0" w:space="0" w:color="auto"/>
        <w:bottom w:val="none" w:sz="0" w:space="0" w:color="auto"/>
        <w:right w:val="none" w:sz="0" w:space="0" w:color="auto"/>
      </w:divBdr>
    </w:div>
    <w:div w:id="214677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hyperlink" Target="http://www.negrdc.org/swap/index.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2287</Words>
  <Characters>13042</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elbert blackstock</dc:creator>
  <cp:keywords/>
  <dc:description/>
  <cp:lastModifiedBy>Michelle M. Walker</cp:lastModifiedBy>
  <cp:revision>2</cp:revision>
  <cp:lastPrinted>2018-04-30T15:55:00Z</cp:lastPrinted>
  <dcterms:created xsi:type="dcterms:W3CDTF">2018-04-30T15:56:00Z</dcterms:created>
  <dcterms:modified xsi:type="dcterms:W3CDTF">2018-04-30T15:56:00Z</dcterms:modified>
</cp:coreProperties>
</file>